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https://www.autoritedelaconcurrence.fr/fr/decision-de-controle-des-concentrations/relative-la-prise-de-controle-conjoint-dun-actif-1</w:t>
      </w:r>
    </w:p>
    <w:p>
      <w:r>
        <w:t>Pages translated : 4</w:t>
      </w:r>
    </w:p>
    <w:p/>
    <w:p>
      <w:r>
        <w:rPr>
          <w:b/>
        </w:rPr>
        <w:t>[Pages 1–3]</w:t>
      </w:r>
    </w:p>
    <w:p>
      <w:r>
        <w:t xml:space="preserve">FRENCH REPUBLIC  </w:t>
        <w:br/>
        <w:t xml:space="preserve">Decision No. 15-DCC-156 of December 7, 2015  </w:t>
        <w:br/>
        <w:t>regarding the joint control of a real estate asset for office use by Sogecap and Predica</w:t>
      </w:r>
    </w:p>
    <w:p>
      <w:r>
        <w:t xml:space="preserve">The Competition Authority,  </w:t>
        <w:br/>
        <w:t xml:space="preserve">Having regard to the notification file submitted in full to the concentrations service on November 4, 2015, regarding the joint control of a real estate asset for office use by Sogecap and Predica, formalized by a promise of sale dated October 15, 2015;  </w:t>
        <w:br/>
        <w:t xml:space="preserve">Having regard to Book IV of the Commercial Code relating to price freedom and competition, and in particular its Articles L. 430-1 to L. 430-10;  </w:t>
        <w:br/>
        <w:t>Adopts the following decision:</w:t>
      </w:r>
    </w:p>
    <w:p>
      <w:r>
        <w:t xml:space="preserve">I. The concerned companies and the operation  </w:t>
        <w:br/>
        <w:t xml:space="preserve">1. Sogecap SA (hereinafter, "Sogecap") is a public limited company under French law, primarily active in the insurance sector in France. It is 99.99% owned by Société Générale Financial Services Holding, which is itself a 100% subsidiary of the Société Générale group. The latter is a European financial services group present in 76 countries.  </w:t>
        <w:br/>
        <w:t xml:space="preserve">2. Predica SA (hereinafter, "Predica") is a public limited company under French law, primarily active in the insurance sector in France. It is 100% owned by Crédit Agricole Assurances, which is itself 100% owned by Crédit Agricole SA. The latter is the central body of the Crédit Agricole group, a French mutual group offering a wide range of banking and insurance services.  </w:t>
        <w:br/>
        <w:t xml:space="preserve">3. The target of the operation is a real estate asset for office use, located at 22-30 Avenue de Wagram in Paris, currently occupied and owned by a subsidiary of the EDF group. This building, with a surface area of 23,000 m², includes ancillary premises, catering facilities, and 137 parking spaces.  </w:t>
        <w:br/>
        <w:t xml:space="preserve">4. Under the terms of a promise of sale dated October 15, 2015, the company Imefa Cent Soixante (hereinafter, "Imefa") will acquire 100% of the real estate rights of the target. The capital of the company Imefa, specially created for the operation, will be held at [30-40]% by the companies Sogecap and Predica, with the remaining [30-40]% held by EDF. Under the terms of a draft shareholders' agreement, strategic decisions relating to the company Imefa, such as the adoption of the budget and business plan, will be made by a two-thirds majority of the votes. Furthermore, the veto rights that EDF will have due to its minority participation will not exceed what is normally granted to minority shareholders to protect their financial interests. Therefore, the company Imefa will be jointly controlled by Sogecap and Predica.  </w:t>
        <w:br/>
        <w:t xml:space="preserve">5. Under the terms of a commercial lease with a duration of ten years, of which nine years are firm, the real estate asset will be exclusively leased by Imefa to EDF for an annual rent of […] million euros. The building thus constitutes an asset that is expected to generate revenue in the short term and with certainty.  </w:t>
        <w:br/>
        <w:t xml:space="preserve">6. Insofar as it results in the joint control by Sogecap and Predica of a building for office use, the operation constitutes a concentration within the meaning of Article L. 430-1 of the Commercial Code.  </w:t>
        <w:br/>
        <w:t>7. The concerned companies achieved a consolidated worldwide turnover excluding taxes of more than 150 million euros in the last closed financial year (Société Générale: […] billion euros for the 2014 financial year; Crédit Agricole: […] billion euros for the same financial year). Each of these companies achieved a turnover in France exceeding 50 million euros (Société Générale: […] billion euros for the financial year ending December 31, 2014; Crédit Agricole: […] billion euros for the same financial year). Given these turnover figures, the thresholds set out in Article 1, paragraph 2, a) and b) of Regulation (EC) No. 139/2004 are exceeded. However, since each of the concerned companies generates more than two-thirds of its turnover within the Union in France,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8. The operation leads to an overlap of activities in the real estate services sector.  </w:t>
        <w:br/>
        <w:t xml:space="preserve">A. THE PRODUCT AND SERVICE MARKETS  </w:t>
        <w:br/>
        <w:t xml:space="preserve">9. Decision-making practice has considered, while leaving the question open, various segmentations in the real estate sector according to (i) the recipients of the services (individuals or businesses), (ii) the method of price determination (free residential real estate, social housing or assisted intermediate housing), (iii) the type of activity conducted in the premises (offices, commercial premises, and other activity premises), and (iv) the nature of the services or goods offered.  </w:t>
        <w:br/>
        <w:t xml:space="preserve">10. Regarding segmentation according to the nature of the services or goods offered, decision-making practice has considered distinguishing: i) real estate development which includes construction and sale activities of real estate properties; ii) real estate asset management for own account; iii) real estate asset management for third-party account; iv) property management which covers the activities of managing buildings on behalf of owners and which can be segmented between rental management and co-ownership management; v) real estate appraisal; vi) real estate consulting; and vii) intermediation in real estate transactions for which intermediation in purchase/sale operations is distinguished from intermediation in rental operations.  </w:t>
        <w:br/>
        <w:t xml:space="preserve">11. In this case, the parties to the operation are simultaneously present in the market for self-managed real estate assets for office use.  </w:t>
        <w:br/>
        <w:t xml:space="preserve">12. The question of the exact delimitation of the markets in the real estate sector will, however, be left open, as the conclusions of the competitive analysis remain unchanged regardless of the delimitations retained.  </w:t>
        <w:br/>
        <w:t xml:space="preserve">B. THE GEOGRAPHICAL MARKETS  </w:t>
        <w:br/>
        <w:t xml:space="preserve">13. Decision-making practice has considered that the markets related to the real estate sector are generally of subnational dimension, while leaving the question open. It has also considered a delimitation at the national level for the markets of real estate services intended for businesses when investment operations are carried out by large investors.  </w:t>
        <w:br/>
        <w:t>14. In this case, the parties to the operation are all active in the Île-de-France region, in the department of Paris (75). In this regard, decision-making practice has noted that "the Paris region has particular properties of continuity of urban areas. Indeed, there is a vast, highly urbanized, and homogeneous area covering most of Île-de-France, served by a comprehensive transport network; residents are always able to arbitrate between different parts of the region. This substitutability leads to a convergence of price levels. Therefore, the regional level is the most appropriate for competitive analysis."</w:t>
      </w:r>
    </w:p>
    <w:p>
      <w:r>
        <w:rPr>
          <w:b/>
        </w:rPr>
        <w:t>[Pages 4–4]</w:t>
      </w:r>
    </w:p>
    <w:p>
      <w:r>
        <w:t xml:space="preserve">15. The question of the exact delimitation of the relevant markets may, however, be left open as the conclusions of the competitive analysis remain unchanged regardless of the delimitations adopted.  </w:t>
        <w:br/>
        <w:t xml:space="preserve">III. Competitive Analysis  </w:t>
        <w:br/>
        <w:t xml:space="preserve">16. In the market for the ownership and management of real estate assets for own account for office use, the combined market shares of the parties will be below [0-5]% regardless of the geographical dimension considered.  </w:t>
        <w:br/>
        <w:t xml:space="preserve">17. Furthermore, the market for the management and ownership for own account of real estate assets for office use in Île-de-France is characterized by its high atomization. Indeed, many operators are active there, such as real estate companies, including listed real estate investment companies as well as insurance companies, investment funds, and banks.  </w:t>
        <w:br/>
        <w:t xml:space="preserve">18. Consequently, the operation is not likely to harm competition in the market for the management of real estate assets for own account for office use in Île-de-France.  </w:t>
        <w:br/>
        <w:t xml:space="preserve">DECIDES  </w:t>
        <w:br/>
        <w:t xml:space="preserve">Sole Article: The operation notified under number 15-167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