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https://www.autoritedelaconcurrence.fr/fr/decision-de-controle-des-concentrations/relative-la-prise-de-controle-conjoint-dun-actif-10</w:t>
      </w:r>
    </w:p>
    <w:p>
      <w:r>
        <w:t>Pages translated : 2</w:t>
      </w:r>
    </w:p>
    <w:p/>
    <w:p>
      <w:r>
        <w:rPr>
          <w:b/>
        </w:rPr>
        <w:t>[Pages 1–2]</w:t>
      </w:r>
    </w:p>
    <w:p>
      <w:r>
        <w:t>FRENCH REPUBLIC</w:t>
        <w:br/>
        <w:t>Decision No. 18-DCC-191 of November 12, 2018</w:t>
        <w:br/>
        <w:t>regarding the joint control acquisition of a real estate asset for office use by Amundi Immobilier (Crédit Agricole Group) and the Caisse des dépôts et consignations</w:t>
        <w:br/>
        <w:t>The Competition Authority,</w:t>
        <w:br/>
        <w:t>Having regard to the complete notification file sent to the mergers department on October 19, 2018, concerning the joint control acquisition of a real estate asset for office use by Amundi Immobilier (Crédit Agricole Group) and the Caisse des dépôts et consignations, formalized by a share transfer agreement dated September 20, 2018;</w:t>
        <w:br/>
        <w:t>Having regard to Book IV of the Commercial Code relating to the freedom of prices and competition, and in particular its Articles L. 430-1 to L. 430-7;</w:t>
        <w:br/>
        <w:t>Adopts the following decision:</w:t>
        <w:br/>
        <w:t>1. The notified operation consists of the joint control acquisition of a real estate asset for office use by Amundi Immobilier (Crédit Agricole Group) and the Caisse des dépôts et consignations.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The markets concerned by the operation are those of real estate services, consistently defined by the decision-making practice of the competition authorities.</w:t>
        <w:br/>
        <w:t>3. Regardless of the segmentations retained, the combined market shares of the parties are below 25%.</w:t>
        <w:br/>
        <w:t>4. Considering the elements of the file and in particular point 384 of the guidelines of the Competition Authority relating to the control of concentrations, the operation is not likely to harm competition.</w:t>
      </w:r>
    </w:p>
    <w:p>
      <w:r>
        <w:t>DECIDES</w:t>
        <w:br/>
        <w:t>Sole Article: The operation notified under number 18-225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