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https://www.autoritedelaconcurrence.fr/fr/decision-de-controle-des-concentrations/relative-la-prise-de-controle-conjoint-dun-actif-11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18-DCC-214 of December 7, 2018  </w:t>
        <w:br/>
        <w:t xml:space="preserve">regarding the joint control of a real estate asset by the  </w:t>
        <w:br/>
        <w:t xml:space="preserve">companies Kaufman &amp; Broad Investissements and Midi Foncière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16, 2018, concerning the joint control of a real estate asset by the companies  </w:t>
        <w:br/>
        <w:t xml:space="preserve">Kaufman &amp; Broad Investissements SAS and Midi Foncière SA, formalized by a memorandum  </w:t>
        <w:br/>
        <w:t xml:space="preserve">of understanding dated November 8,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a real estate asset located in the  </w:t>
        <w:br/>
        <w:t xml:space="preserve">municipality of Montigny-le-Bretonneux by Kaufman &amp; Broad Investissements SAS and Midi  </w:t>
        <w:br/>
        <w:t xml:space="preserve">Foncière SA, which belongs to the BPCE group. It constitutes a concentration within the meaning of  </w:t>
        <w:br/>
        <w:t xml:space="preserve">Article L. 430-1 of the Commercial Code. Given the turnover achieved by the  </w:t>
        <w:br/>
        <w:t xml:space="preserve">concerned companies, the notification thresholds of Article 1 paragraph 2 of Regulation (EC)  </w:t>
        <w:br/>
        <w:t xml:space="preserve">139/2004 are exceeded, but since each of the concerned companies generates more than two-thirds of  </w:t>
        <w:br/>
        <w:t xml:space="preserve">its turnover in the Union in France,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The market concerned by the operation is that of the management for one's own account of  </w:t>
        <w:br/>
        <w:t xml:space="preserve">real estate assets for office use, which is consistently defined by the decision-making practice  </w:t>
        <w:br/>
        <w:t xml:space="preserve">of the Competition Authority.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18-254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