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https://www.autoritedelaconcurrence.fr/fr/decision-de-controle-des-concentrations/relative-la-prise-de-controle-conjoint-dun-actif-14</w:t>
      </w:r>
    </w:p>
    <w:p>
      <w:r>
        <w:t>Pages translated : 2</w:t>
      </w:r>
    </w:p>
    <w:p/>
    <w:p>
      <w:r>
        <w:rPr>
          <w:b/>
        </w:rPr>
        <w:t>[Pages 1–2]</w:t>
      </w:r>
    </w:p>
    <w:p>
      <w:r>
        <w:t xml:space="preserve">FRENCH REPUBLIC  </w:t>
        <w:br/>
        <w:t xml:space="preserve">Decision No. 19-DCC-143 of July 23, 2019  </w:t>
        <w:br/>
        <w:t>regarding the joint control acquisition of a real estate asset for use as premises by the companies Oppidéa, Immo Retail, and the Caisse des Dépôts et Consignation</w:t>
      </w:r>
    </w:p>
    <w:p>
      <w:r>
        <w:t>The Competition Authority,</w:t>
      </w:r>
    </w:p>
    <w:p>
      <w:r>
        <w:t>Having regard to the notification file submitted in full to the mergers department on June 18, 2019, declared complete on July 10, 2019, concerning the joint control acquisition of a real estate asset for use as premises by the companies Oppidéa, Immo Retail, and the Caisse des Dépôts et Consignation (hereinafter "CDC"), formalized by a joint declaration of the parties dated July 10, 2019;</w:t>
      </w:r>
    </w:p>
    <w:p>
      <w:r>
        <w:t>Having regard to Book IV of the Commercial Code relating to the freedom of prices and competition, and in particular its Articles L. 430-1 to L. 430-7;</w:t>
      </w:r>
    </w:p>
    <w:p>
      <w:r>
        <w:t>Having regard to the additional elements transmitted by the notifying party during the investigation;</w:t>
      </w:r>
    </w:p>
    <w:p>
      <w:r>
        <w:t xml:space="preserve">Adopts the following decision:  </w:t>
        <w:br/>
        <w:t xml:space="preserve">1. The notified operation consists of the joint control acquisition of a real estate asset for use as premises, located in the Empalot commercial area in Toulouse (31), by the companies Oppidéa, Immo Retail, and the CDC.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those of real estate services, which are consistently defined by the decision-making practice of the competition authorities.  </w:t>
        <w:br/>
        <w:t xml:space="preserve">3. Regardless of the segmentations retained, the combined market shares of the parties are below 25%.  </w:t>
        <w:br/>
        <w:t>4. Considering the elements of the file and in particular point 384 of the guidelines of the Competition Authority regarding the control of concentrations, the operation is not likely to harm competition.</w:t>
      </w:r>
    </w:p>
    <w:p>
      <w:r>
        <w:t xml:space="preserve">DECIDES  </w:t>
        <w:br/>
        <w:t xml:space="preserve">Single Article: The operation notified under number 19-134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