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https://www.autoritedelaconcurrence.fr/fr/decision-de-controle-des-concentrations/relative-la-prise-de-controle-conjoint-dun-actif-15</w:t>
      </w:r>
    </w:p>
    <w:p>
      <w:r>
        <w:t>Pages translated : 2</w:t>
      </w:r>
    </w:p>
    <w:p/>
    <w:p>
      <w:r>
        <w:rPr>
          <w:b/>
        </w:rPr>
        <w:t>[Pages 1–2]</w:t>
      </w:r>
    </w:p>
    <w:p>
      <w:r>
        <w:t xml:space="preserve">FRENCH REPUBLIC  </w:t>
        <w:br/>
        <w:t xml:space="preserve">Decision No. 19-DCC-164 of August 27, 2019  </w:t>
        <w:br/>
        <w:t xml:space="preserve">regarding the joint control acquisition of a real estate asset by  </w:t>
        <w:br/>
        <w:t xml:space="preserve">SCI Hexapierre (Crédit Mutuel group) and the investment funds  </w:t>
        <w:br/>
        <w:t xml:space="preserve">Edissimo, Genepierre, Rivoli Avenir Patrimoine, Opcimmo (Crédit Agricole group)  </w:t>
        <w:br/>
        <w:t xml:space="preserve">The Competition Authority,  </w:t>
        <w:br/>
        <w:t xml:space="preserve">Having regard to the complete notification file sent to the mergers department on August 7, 2019,  </w:t>
        <w:br/>
        <w:t xml:space="preserve">concerning the joint control acquisition of the company West Bridge by the company Hexapierre (Crédit Mutuel group) and the companies Edissimo, Genepierre, Rivoli Avenir Patrimoine, Opcimmo (Crédit Agricole group), formalized by a transfer contract dated August 2,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SCI Hexapierre, whose management is ensured by the company La Française, controlled by the Crédit Mutuel group, and the investment funds Edissimo, Genepierre, Rivoli Avenir Patrimoine, Opcimmo, subsidiaries of the investment fund Amundi Immobilier, itself controlled by the Crédit Agricole group, of SCI West Bridge, which aims to hold an office building in Levallois-Perret (92), currently under construction. It constitutes a concentration within the meaning of Article L. 430-1 of the Commercial Code. Given the turnover achieved by the concerned companies, the thresholds provided for in Article 1, paragraph 2, a) and b) of Regulation (EC) No. 139/2004 of the Council of January 20, 2004 are met. Nevertheless, since each of the concerned companies generates more than two-thirds of its turnover in the European Union in France, the operation does not fall under the jurisdiction of the European Commission.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real estate services and commercial banking, which are consistently defined by the decision-making practice of the competition authorities.  </w:t>
        <w:br/>
        <w:t xml:space="preserve">3. Regardless of the segmentations retained, the additions of market shares of the parties are below 25 points.  </w:t>
        <w:br/>
        <w:t xml:space="preserve">4. Considering the elements of the file and in particular point 384 of the guidelines of the Competition Authority regarding the control of concentrations, the operation is not likely to harm competition.  </w:t>
        <w:br/>
        <w:t xml:space="preserve">DECIDES  </w:t>
        <w:br/>
        <w:t xml:space="preserve">Single Article: The operation notified under number 19-211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