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https://www.autoritedelaconcurrence.fr/fr/decision-de-controle-des-concentrations/relative-la-prise-de-controle-conjoint-dun-actif-16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20-DCC-61 of May 14, 2020  </w:t>
        <w:br/>
        <w:t xml:space="preserve">regarding the joint control acquisition of a real estate asset by the  </w:t>
        <w:br/>
        <w:t xml:space="preserve">Malakoff Humanis group and the Caisse des Dépôts et Consignations  </w:t>
        <w:br/>
        <w:t xml:space="preserve">The Competition Authority,  </w:t>
        <w:br/>
        <w:t xml:space="preserve">Having regard to the complete notification file submitted to the mergers department on April 17, 2020,  </w:t>
        <w:br/>
        <w:t xml:space="preserve">concerning the joint control acquisition of a real estate asset by the Malakoff Humanis group and  </w:t>
        <w:br/>
        <w:t xml:space="preserve">the Caisse des Dépôts et Consignations, formalized by a letter of intent dated  </w:t>
        <w:br/>
        <w:t xml:space="preserve">April 6,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Malakoff Humanis group  </w:t>
        <w:br/>
        <w:t xml:space="preserve">and the Caisse des Dépôts et Consignations of a real estate asset located in Saint-Denis (93) via the  </w:t>
        <w:br/>
        <w:t xml:space="preserve">company SCI Hôtel Lille Vivaldi. It constitutes a concentration within the meaning of Article L. 430-1  </w:t>
        <w:br/>
        <w:t xml:space="preserve">of the Commercial Code. Given the turnover achieved by the companies involved, the thresholds set out in  </w:t>
        <w:br/>
        <w:t xml:space="preserve">Article 1, paragraph 2, a) and b) of Regulation (EC) No. 139/2004 of the Council of January 20, 2004, are met.  </w:t>
        <w:br/>
        <w:t xml:space="preserve">However, since each of the companies involved generates more than two-thirds of its turnover in the  </w:t>
        <w:br/>
        <w:t xml:space="preserve">European Union in France, the operation does not fall under the jurisdiction of the European Commission.  </w:t>
        <w:br/>
        <w:t xml:space="preserve">On the other hand, the control thresholds mentioned in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The markets concerned by the operation are those of real estate services. These markets are  </w:t>
        <w:br/>
        <w:t xml:space="preserve">consistently defined by the decision-making practice of the Competition Authority.  </w:t>
        <w:br/>
        <w:t xml:space="preserve">3. Regardless of the segmentations retained, the cumulative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likely to  </w:t>
        <w:br/>
        <w:t>harm competition.</w:t>
      </w:r>
    </w:p>
    <w:p>
      <w:r>
        <w:t xml:space="preserve">DECIDES  </w:t>
        <w:br/>
        <w:t xml:space="preserve">Sole Article: The operation notified under number 20-068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