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https://www.autoritedelaconcurrence.fr/fr/decision-de-controle-des-concentrations/relative-la-prise-de-controle-conjoint-dun-actif-17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21-DCC-12 of January 27, 2021  </w:t>
        <w:br/>
        <w:t xml:space="preserve">regarding the joint control acquisition of a real estate asset by the  </w:t>
        <w:br/>
        <w:t xml:space="preserve">company Financière Immobilière Deruelle and the Caisse des Dépôts et  </w:t>
        <w:br/>
        <w:t xml:space="preserve">Consignations  </w:t>
        <w:br/>
        <w:t xml:space="preserve">The Competition Authority,  </w:t>
        <w:br/>
        <w:t xml:space="preserve">Having regard to the complete notification file sent to the mergers department on January 4, 2021,  </w:t>
        <w:br/>
        <w:t xml:space="preserve">concerning the joint control acquisition of a real estate asset by the company Financière Immobilière  </w:t>
        <w:br/>
        <w:t xml:space="preserve">Deruelle and the Caisse des Dépôts et Consignations, formalized by a letter of intent dated  </w:t>
        <w:br/>
        <w:t xml:space="preserve">December 13,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transmitted during the investigation by the notifying party;  </w:t>
        <w:br/>
        <w:t xml:space="preserve">Adopts the following decision:  </w:t>
        <w:br/>
        <w:t xml:space="preserve">1. The notified operation consists of the joint control acquisition by the company Financière  </w:t>
        <w:br/>
        <w:t xml:space="preserve">Immobilière Deruelle, a subsidiary of the BPCE group, and the Caisse des Dépôts et Consignations of a  </w:t>
        <w:br/>
        <w:t xml:space="preserve">real estate asset for tourism residence use in Risoul via the company La Ferme de Michelle, which is  </w:t>
        <w:br/>
        <w:t xml:space="preserve">currently being established. It constitutes a concentration operation within the meaning of Article  </w:t>
        <w:br/>
        <w:t xml:space="preserve">L. 430-1 of the Commercial Code. Given the turnover achieved by the companies involved, the operation  </w:t>
        <w:br/>
        <w:t xml:space="preserve">does not fall under the jurisdiction of the European Union. On the other hand, the control thresholds  </w:t>
        <w:br/>
        <w:t xml:space="preserve">mentioned in point 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20-258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