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https://www.autoritedelaconcurrence.fr/fr/decision-de-controle-des-concentrations/relative-la-prise-de-controle-conjoint-dun-actif-18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22-DCC-208 of October 31, 2022  </w:t>
        <w:br/>
        <w:t xml:space="preserve">regarding the joint control of a real estate asset located in  </w:t>
        <w:br/>
        <w:t xml:space="preserve">Anglet (64) by the Bouygues group and the company Omnes Capital  </w:t>
        <w:br/>
        <w:t xml:space="preserve">The Competition Authority,  </w:t>
        <w:br/>
        <w:t xml:space="preserve">Having regard to the complete notification file sent to the mergers department on October 14, 2022,  </w:t>
        <w:br/>
        <w:t xml:space="preserve">concerning the joint control by the Bouygues group and the company Omnes Capital of a  </w:t>
        <w:br/>
        <w:t xml:space="preserve">real estate asset located in Anglet (64) formalized by a promise of sale dated  </w:t>
        <w:br/>
        <w:t xml:space="preserve">July 27,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by the Bouygues group, through its subsidiary  </w:t>
        <w:br/>
        <w:t xml:space="preserve">Bouygues Immobilier, and the company Omnes Capital of a real estate asset for office use located in  </w:t>
        <w:br/>
        <w:t xml:space="preserve">Anglet (64). It constitutes a concentration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control thresholds mentioned in I of Article L. 430-2 of the Commercial Code are 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22-265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