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https://www.autoritedelaconcurrence.fr/fr/decision-de-controle-des-concentrations/relative-la-prise-de-controle-conjoint-dun-actif-2</w:t>
      </w:r>
    </w:p>
    <w:p>
      <w:r>
        <w:t>Pages translated : 5</w:t>
      </w:r>
    </w:p>
    <w:p/>
    <w:p>
      <w:r>
        <w:rPr>
          <w:b/>
        </w:rPr>
        <w:t>[Pages 1–3]</w:t>
      </w:r>
    </w:p>
    <w:p>
      <w:r>
        <w:t>FRENCH REPUBLIC</w:t>
        <w:br/>
        <w:t>Decision No. 16-DCC-02 of January 11, 2016</w:t>
        <w:br/>
        <w:t>regarding the joint control of a real estate asset located in</w:t>
        <w:br/>
        <w:t>Marseille by the BPCE group and the Caisse des Dépôts et Consignations</w:t>
        <w:br/>
        <w:t>The Competition Authority,</w:t>
        <w:br/>
        <w:t>Having regard to the notification file submitted in full to the merger service on</w:t>
        <w:br/>
        <w:t>December 7, 2015, regarding the joint control of a real estate asset located in Marseille</w:t>
        <w:br/>
        <w:t>by the BPCE group and the Caisse des Dépôts et Consignations, formalized by a draft</w:t>
        <w:br/>
        <w:t>shareholders' agreement dated November 30, 2015, as well as by a joint declaration</w:t>
        <w:br/>
        <w:t>of intent dated November 19, 2015;</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The Banque Populaire Caisse d’Epargne group (hereinafter, “BPCE”) is active in the banking and insurance sectors through the Banque Populaire and Caisse d’Épargne networks as well as Natixis. BPCE also holds stakes in the real estate services sector, customer account management services, and private equity operations dedicated to SMEs. In the real estate sector, BPCE notably holds the company Midi Patrimoine, active in the rental of real estate in Provence-Alpes-Côte d’Azur.</w:t>
        <w:br/>
        <w:t>2. The Caisse des Dépôts et Consignations (hereinafter, “the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mode of governance being intended to ensure the autonomy of this institution which manages private funds requiring special protection1.</w:t>
        <w:br/>
        <w:t>3. The target of the operation is a real estate complex to be constructed comprising (i) office premises with a surface area of 5,778 m², (ii) commercial premises with a surface area of 514 m², and (iii) a right of access to 60 parking spaces, located at 7 rue André Allar in Marseille (13 015) within a future real estate complex with a planned surface area of 58,000 m². The surface area of the target real estate complex is likely to extend by an additional 140 m² subject to obtaining a modified building permit.</w:t>
        <w:br/>
        <w:t>4. The real estate complex will be acquired at the end of a sale contract in future state of completion (hereinafter "VEFA") and will therefore not generate any revenue from third parties at the time of acquisition. However, the real estate complex is already the subject of a lease in future state of completion ("BEFA"), signed for a duration of 9 years and 3 months with the company Ingérop for 1,150 m² of offices and a BEFA project for a duration of 9 years - accompanied by a letter of intent - with the company Eiffage Construction Provence for 2,529.35 m². The building is therefore an asset expected to generate revenue in the short term and with certainty.</w:t>
        <w:br/>
        <w:t>5. The notified operation, formalized by a draft partners' agreement dated November 30, 2015, a draft articles of incorporation, as well as a joint declaration of intent dated November 19, 2015, consists of the acquisition of this real estate complex by the simplified joint-stock company ("SAS") provisionally named "Allar Lot C," created for the needs of the operation and which will be held 51% by the SCI Midi Patrimoine, a subsidiary of BPCE, and 49% by the CDC. The CDC and Midi Patrimoine will exercise joint control over the target asset, insofar as, in accordance with the provisions of the partners' agreement and the articles of the SAS2, strategic decisions regarding its activity will be adopted either by a two-thirds majority or unanimously by the partners.</w:t>
        <w:br/>
        <w:t>6. As it results in the joint control of the target by BPCE and the CDC, the operation constitutes a concentration within the meaning of Article L. 430-1 of the Commercial Code.</w:t>
        <w:br/>
        <w:t>7. The concerned companies together achieve a total worldwide turnover excluding tax of more than 150 million euros (BPCE: […] euros for the fiscal year ending December 31, 2014; CDC: […] euros for the same fiscal year). Each of these companies has achieved a turnover in France exceeding 50 million euros (BPCE: […] euros for the fiscal year ending December 31, 2014; CDC: […] euros for the same fiscal year). Given these turnover figures, the thresholds set out in Article 1, paragraph 2, a) and b) of Council Regulation (EC) No. 139/2004 of January 20, 2004 are met. However, since each of the concerned companies generates more than two-thirds of its turnover 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1 See Article L. 518-2 of the Monetary and Financial Code.</w:t>
        <w:br/>
        <w:t>2 Articles 18 and 19 of the articles of the SAS.</w:t>
      </w:r>
    </w:p>
    <w:p>
      <w:r>
        <w:t>II. Delimitation of Relevant Markets</w:t>
        <w:br/>
        <w:t>8. The operation results in an overlap of activities in the real estate services sector.</w:t>
        <w:br/>
        <w:t>A. DELIMITATION OF PRODUCT AND SERVICE MARKETS</w:t>
        <w:br/>
        <w:t>9.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in the premises (offices5, commercial premises, and other activity premises6), and (iv) the nature of the services or goods offered.</w:t>
        <w:br/>
        <w:t>10. For this last segmentation, the following services have been identified:</w:t>
        <w:br/>
        <w:t>(i) real estate promotion which includes construction and sale activities of real estate;</w:t>
        <w:br/>
        <w:t>(ii) management of real estate assets for proprietary account;</w:t>
        <w:br/>
        <w:t>(iii) management of real estate assets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rental operations.</w:t>
        <w:br/>
        <w:t>3 See notably the decisions of the Competition Authority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as well as decision C2008-79 / Letter from the Minister of Economy, Industry and Employment of August 22, 2008, to the boards of the CDC and Eurosic, regarding a concentration in the real estate sector, BOCCRF No. 8 bis of October 23, 2008.</w:t>
        <w:br/>
        <w:t>4 See the decisions of the European Commission COMP/M.2110 Deutsche Bank / SEI / JV of September 25, 2000, IV/M.2825 Fortis AG SA / Bernheim-Comofi SA of July 9, 2002, COMP/M.3370 BNP Paribas/ARI of March 9, 2004.</w:t>
        <w:br/>
        <w:t>5 See the decisions of the Competition Authority No. 12-DCC-156 of November 12, 2012 regarding the joint control of a civil real estate company for the acquisition of an office building by CNP Assurance and Sogecap and No. 12-DCC-157 of November 15, 2012 regarding the joint control of a civil real estate company for the holding of an office building located in Lyon by Prédica and the Caisse des Dépôts et Consignations.</w:t>
        <w:br/>
        <w:t>6 See notably the decision of the Competition Authority No. 13-DCC-146 of October 22, 2013 regarding the joint control of a civil real estate company for the holding of a real estate asset for EHPAD by Foncière Malherbe Claudel (Crédit Agricole Group) and the Caisse des Dépôts et Consignations.</w:t>
      </w:r>
    </w:p>
    <w:p>
      <w:r>
        <w:rPr>
          <w:b/>
        </w:rPr>
        <w:t>[Pages 4–5]</w:t>
      </w:r>
    </w:p>
    <w:p>
      <w:r>
        <w:t>11. In the present case, the parties are simultaneously active in the markets for proprietary management of real estate assets for office and commercial use.</w:t>
      </w:r>
    </w:p>
    <w:p>
      <w:r>
        <w:t>12. The question of the exact delineation of the real estate sector markets can, however, be left open insofar as it has no impact on the competitive analysis.</w:t>
      </w:r>
    </w:p>
    <w:p>
      <w:r>
        <w:t>B. THE GEOGRAPHIC MARKETS</w:t>
      </w:r>
    </w:p>
    <w:p>
      <w:r>
        <w:t>13. Decision-making practice considers that real estate service markets for individuals are of a local dimension. While leaving the question open, decision-making practice has also conducted an analysis at the national level for operations carried out by groups of national scope following a strategy of establishment in shopping centers according to a logic of territorial networking.</w:t>
      </w:r>
    </w:p>
    <w:p>
      <w:r>
        <w:t>14. With regard specifically to the market for the ownership and proprietary management of real estate assets, competition authorities have conducted their competitive analyses at the regional or sub-regional level.</w:t>
      </w:r>
    </w:p>
    <w:p>
      <w:r>
        <w:t>15. In the present case, the analysis will therefore be conducted at the levels of the Provence-Alpes-Côte d’Azur region, the Bouches du Rhône department (13), and the city of Marseille.</w:t>
      </w:r>
    </w:p>
    <w:p>
      <w:r>
        <w:t>16. The question of the exact delineation of the geographic markets in the real estate sector can, however, be left open insofar as it has no impact on the competitive analysis.</w:t>
      </w:r>
    </w:p>
    <w:p>
      <w:r>
        <w:t>III. Competitive Analysis</w:t>
      </w:r>
    </w:p>
    <w:p>
      <w:r>
        <w:t>17. At the regional (Provence-Alpes-Côte d’Azur), departmental (Bouches du Rhône (13)), and city (Marseille) levels, the parties estimate that they hold a market share of less than [0-5]% regardless of the segmentation retained. The new entity will also remain subject to competition from numerous operators such as Gecina, Generali, Foncière des Régions group, GE Real Estate, Axa, Allianz, or Groupama.</w:t>
      </w:r>
    </w:p>
    <w:p>
      <w:r>
        <w:t>18. Consequently, the transaction is not likely to harm competition in the various markets for the ownership and proprietary management of real estate assets.</w:t>
      </w:r>
    </w:p>
    <w:p>
      <w:r>
        <w:t>DECIDES</w:t>
      </w:r>
    </w:p>
    <w:p>
      <w:r>
        <w:t>Sole Article: The transaction notified under number 15-231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