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22-DCC-246 of December 30, 2022  </w:t>
        <w:br/>
        <w:t xml:space="preserve">regarding the joint control of a real estate asset located in  </w:t>
        <w:br/>
        <w:t xml:space="preserve">La Farlède (83) by the Bouygues group and the company Omnes Capital  </w:t>
        <w:br/>
        <w:t xml:space="preserve">The Competition Authority,  </w:t>
        <w:br/>
        <w:t xml:space="preserve">Having regard to the complete notification file sent to the mergers department on December 7, 2022,  </w:t>
        <w:br/>
        <w:t xml:space="preserve">concerning the joint control by the Bouygues group and the company Omnes Capital of a  </w:t>
        <w:br/>
        <w:t xml:space="preserve">real estate asset located in La Farlède (83) formalized by a bilateral promise of sale  </w:t>
        <w:br/>
        <w:t xml:space="preserve">dated September 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by the Bouygues group, through  </w:t>
        <w:br/>
        <w:t xml:space="preserve">its subsidiary Bouygues Immobilier, and the company Omnes Capital of a real estate asset for  </w:t>
        <w:br/>
        <w:t xml:space="preserve">industrial premises located in La Farlède (83).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 </w:t>
        <w:br/>
        <w:t xml:space="preserve">the control thresholds mentioned in I of Article L. 430-2 of the Commercial Code are  </w:t>
        <w:br/>
        <w:t xml:space="preserve">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22-301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