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https://www.autoritedelaconcurrence.fr/fr/decision-de-controle-des-concentrations/relative-la-prise-de-controle-conjoint-dun-actif-21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23-DCC-189 of September 25, 2023  </w:t>
        <w:br/>
        <w:t xml:space="preserve">regarding the joint control acquisition of a real estate asset located in  </w:t>
        <w:br/>
        <w:t xml:space="preserve">Annecy (74) by the Bouygues group and the Caisse des dépôts et  </w:t>
        <w:br/>
        <w:t xml:space="preserve">consignations  </w:t>
        <w:br/>
        <w:t xml:space="preserve">The Competition Authority,  </w:t>
        <w:br/>
        <w:t xml:space="preserve">Having regard to the complete notification file submitted to the mergers department on September 8, 2023,  </w:t>
        <w:br/>
        <w:t xml:space="preserve">concerning the joint control acquisition by the Bouygues group, through its subsidiary  </w:t>
        <w:br/>
        <w:t xml:space="preserve">Bouygues Immobilier, and the Caisse des dépôts et consignations (hereinafter, "CDC"), through  </w:t>
        <w:br/>
        <w:t xml:space="preserve">its subsidiary CDC Habitat, of a real estate asset located in Annecy (74) owned by the company  </w:t>
        <w:br/>
        <w:t xml:space="preserve">Vallon du Fier, formalized by a partnership protocol dated July 26, 2022, a draft amendment  </w:t>
        <w:br/>
        <w:t xml:space="preserve">to the protocol, and a draft shareholders' agreement of the company Vallon du Fier dated June 20, 2023;  </w:t>
        <w:br/>
        <w:t xml:space="preserve">Having regard to Book IV of the Commercial Code relating to price freedom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Bouygues group and the CDC  </w:t>
        <w:br/>
        <w:t xml:space="preserve">of a real estate asset for residential and commercial use located in Annecy (74). It constitutes  </w:t>
        <w:br/>
        <w:t xml:space="preserve">a concentration within the meaning of Article L. 430-1 of the Commercial Code. Given the revenues  </w:t>
        <w:br/>
        <w:t xml:space="preserve">generated by the companies concerned, the thresholds set out in Article 1, paragraph 2,  </w:t>
        <w:br/>
        <w:t xml:space="preserve">a) and b) of Council Regulation (EC) No. 139/2004 of January 20, 2004 are met. Nevertheless,  </w:t>
        <w:br/>
        <w:t xml:space="preserve">the Bouygues group and the CDC generate more than two-thirds of their European revenue  </w:t>
        <w:br/>
        <w:t xml:space="preserve">in France, the operation does not fall under the jurisdiction of the European Union. On the other hand, the  </w:t>
        <w:br/>
        <w:t xml:space="preserve">control thresholds mentioned in I of Article L. 430-2 of the Commercial Code are exceeded. The  </w:t>
        <w:br/>
        <w:t xml:space="preserve">present 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23-168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