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https://www.autoritedelaconcurrence.fr/fr/decision-de-controle-des-concentrations/relative-la-prise-de-controle-conjoint-dun-actif-22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24-DCC-31 of February 29, 2024  </w:t>
        <w:br/>
        <w:t xml:space="preserve">regarding the joint acquisition of control of a real estate asset located in  </w:t>
        <w:br/>
        <w:t>Strasbourg by the Caisse des dépôts et consignations and the Crédit Agricole group</w:t>
      </w:r>
    </w:p>
    <w:p>
      <w:r>
        <w:t xml:space="preserve">The Competition Authority,  </w:t>
        <w:br/>
        <w:t xml:space="preserve">Having regard to the complete notification file submitted to the mergers department on February 8, 2024,  </w:t>
        <w:br/>
        <w:t xml:space="preserve">concerning the joint acquisition of control of a real estate asset located in Strasbourg by the Caisse des  </w:t>
        <w:br/>
        <w:t xml:space="preserve">dépôts et consignations and the Crédit Agricole group, formalized by a letter of intent dated January 15,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acquisition of control of a hotel real estate asset of 3,910 m² located in Strasbourg (67) by the Caisse des dépôts et consignations and the company Foncière Alsace-Vosges, a subsidiary of the Crédit Agricole group.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24-020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