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24-DCC-67 of April 23, 2024  </w:t>
        <w:br/>
        <w:t xml:space="preserve">regarding the joint control acquisition of a real estate asset located in  </w:t>
        <w:br/>
        <w:t xml:space="preserve">Hyères (83) by the Bouygues group and the company PMV 1  </w:t>
        <w:br/>
        <w:t xml:space="preserve">The Competition Authority,  </w:t>
        <w:br/>
        <w:t xml:space="preserve">Having regard to the complete notification file submitted to the mergers department on April 8, 2024,  </w:t>
        <w:br/>
        <w:t xml:space="preserve">concerning the joint control acquisition by the Bouygues group and the company PMV 1 of a real estate  </w:t>
        <w:br/>
        <w:t xml:space="preserve">asset located in Hyères (83), formalized by a shareholder agreement and a share transfer promise signed on February 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Bouygues group, through its subsidiary Bouygues Immobilier, and the company PMV 1 of a real estate asset for office use located in Hyères (83). It constitutes a concentration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24-045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