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25-DCC-129 of June 3, 2025  </w:t>
        <w:br/>
        <w:t>regarding the joint control acquisition of a real estate asset by the companies Covivio and Emerige Résidentiel</w:t>
      </w:r>
    </w:p>
    <w:p>
      <w:r>
        <w:t>The Competition Authority,</w:t>
      </w:r>
    </w:p>
    <w:p>
      <w:r>
        <w:t>Having regard to the complete notification file submitted to the mergers department on April 30, 2025, concerning the joint control acquisition of a real estate asset by the companies Covivio and Emerige Résidentiel, formalized by the signing of a promise to conclude a shareholders' agreement on March 31, 2025;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Adopts the following decision:</w:t>
      </w:r>
    </w:p>
    <w:p>
      <w:r>
        <w:t>1. The notified operation consists of the joint control acquisition by the companies Covivio and Emerige Résidentiel of a real estate asset located in Paris (75009) for use as parking and commercial premises owned by the company Berepf II France Trinité, which is to be transformed into a building for residential, commercial, and parking use. This operation constitutes a concentration within the meaning of Article L. 430-1 of the Commercial Code. Given the turnover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25-118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