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25-DCC-210 of September 8, 2025</w:t>
        <w:br/>
        <w:t>regarding the joint control of a real estate asset in the future state of completion located in Saint-Ouen by the CDC and the CARAC</w:t>
        <w:br/>
        <w:t>The Competition Authority,</w:t>
        <w:br/>
        <w:t>Having regard to the complete notification file sent to the mergers department on August 21, 2025, concerning the joint control of a real estate asset in the future state of completion, located in Saint-Ouen, by the Caisse des dépôts et consignations and the Caisse autonome de retraite des combattants, formalized by a letter of intent dated August 7, 2025;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joint control by the Caisse des dépôts et consignations and the Caisse autonome de retraite des combattants, through their joint subsidiary OHB ST-Ouen SAS, of a real estate asset in the future state of completion for hotel use, located in Saint-Ouen (93). This operation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view of the elements of the file, the operation is not likely to harm competition in the relevant markets.</w:t>
      </w:r>
    </w:p>
    <w:p>
      <w:r>
        <w:t>DECIDES</w:t>
        <w:br/>
        <w:t>Sole Article: The operation notified under number 25-217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