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https://www.autoritedelaconcurrence.fr/fr/decision-de-controle-des-concentrations/relative-la-prise-de-controle-conjoint-dun-actif-3</w:t>
      </w:r>
    </w:p>
    <w:p>
      <w:r>
        <w:t>Pages translated : 5</w:t>
      </w:r>
    </w:p>
    <w:p/>
    <w:p>
      <w:r>
        <w:rPr>
          <w:b/>
        </w:rPr>
        <w:t>[Pages 1–3]</w:t>
      </w:r>
    </w:p>
    <w:p>
      <w:r>
        <w:t>FRENCH REPUBLIC</w:t>
        <w:br/>
        <w:t>Decision No. 16-DCC-24 of February 18, 2016</w:t>
        <w:br/>
        <w:t>regarding the joint control of a real estate asset located in</w:t>
        <w:br/>
        <w:t>Neuilly-sur-Seine by the Crédit Agricole Group and the</w:t>
        <w:br/>
        <w:t>Federative Bank of the Crédit Mutuel</w:t>
        <w:br/>
        <w:t>The Competition Authority,</w:t>
        <w:br/>
        <w:t>Having regard to the notification file submitted in full to the merger service on January 19, 2016,</w:t>
        <w:br/>
        <w:t>regarding the joint control of a real estate asset located in Neuilly-sur-Seine by the</w:t>
        <w:br/>
        <w:t>Crédit Agricole Group and the Federative Bank of the Crédit Mutuel, formalized by a draft</w:t>
        <w:br/>
        <w:t>shareholders' agreement, a synallagmatic promise of sale dated December 4, 2015, as well as</w:t>
        <w:br/>
        <w:t>the statutes of the SCI MPA;</w:t>
        <w:br/>
        <w:t>Having regard to Book IV of the Commercial Code relating to the freedom of prices and competition, and</w:t>
        <w:br/>
        <w:t>notably its Articles L. 430-1 to L. 430-7;</w:t>
        <w:br/>
        <w:t>Having regard to the supplementary elements transmitted by the parties during the investigation;</w:t>
        <w:br/>
        <w:t>Adopts the following decision:</w:t>
        <w:br/>
        <w:t>I. The concerned companies and the operation</w:t>
        <w:br/>
        <w:t>1. Crédit Agricole Group (hereinafter "GCA") is a French mutual group, offering a wide</w:t>
        <w:br/>
        <w:t>range of banking and insurance services. The Crédit Agricole Group notably controls</w:t>
        <w:br/>
        <w:t>the company Amundi Immobilier (hereinafter "AI") which engages in the development,</w:t>
        <w:br/>
        <w:t>structuring, and management of real estate funds, particularly for offices, as well as in</w:t>
        <w:br/>
        <w:t>commercial real estate expertise, logistics, hospitality, and residential.</w:t>
        <w:br/>
        <w:t>2. The company Federative Bank of the Crédit Mutuel (hereinafter "BFCM") is the holding company of a</w:t>
        <w:br/>
        <w:t>mutual banking group made up of the 11 regional federations of Crédit Mutuel. The</w:t>
        <w:br/>
        <w:t>BFCM group engages in retail banking, financing banking, private banking,</w:t>
        <w:br/>
        <w:t>insurance, market, and venture capital. BFCM controls the company</w:t>
        <w:br/>
        <w:t>Assurances du Crédit Mutuel Vie SA (hereinafter "ACM Vie SA") which markets</w:t>
        <w:br/>
        <w:t>personal insurance products aimed at the individual clientele of the group.</w:t>
      </w:r>
    </w:p>
    <w:p>
      <w:r>
        <w:t>3. The target of the operation is an office real estate complex located at 2-8 rue Ancelle in</w:t>
        <w:br/>
        <w:t>Neuilly-sur-Seine (92 200) with a surface area of 17,226 m² comprising (i) office premises with a surface area of</w:t>
        <w:br/>
        <w:t>16,142 m², (ii) archive premises with a surface area of</w:t>
        <w:br/>
        <w:t>652 m², (iii) a premises with a surface area of 432 m² for inter-company catering use, as</w:t>
        <w:br/>
        <w:t>well as (iv) 199 parking spaces. The real estate complex is owned by the company</w:t>
        <w:br/>
        <w:t>Unibail investissement II. It is leased to [confidential] for an annual rent of […] euros and</w:t>
        <w:br/>
        <w:t>thus generates revenue.</w:t>
        <w:br/>
        <w:t>4. The notified operation, formalized by the constitutive statutes of the SCI MPA dated November 20,</w:t>
        <w:br/>
        <w:t>2015, a draft shareholders' agreement, as well as a synallagmatic promise of</w:t>
        <w:br/>
        <w:t>sale dated December 4, 2015, consists of the acquisition of the target real estate complex</w:t>
        <w:br/>
        <w:t>by the civil real estate company MPA, created for the needs of the operation, from the</w:t>
        <w:br/>
        <w:t>company Unibail investissement II. In accordance with the statutes of the SCI and the draft shareholders'</w:t>
        <w:br/>
        <w:t>agreement, the target will be subject to joint control by the companies AI and ACM Vie SA as</w:t>
        <w:br/>
        <w:t>strategic decisions, such as the appointment and dismissal of managers, will be adopted either by a two-thirds majority or by a simple majority of the partners1 who hold respectively 50% of the shares and voting rights. The operation thus constitutes a concentration within the meaning of Article L. 430-1 of the Commercial Code.</w:t>
        <w:br/>
        <w:t>5. The concerned companies together achieve a total worldwide turnover excluding tax of more than 150 million euros (Crédit Agricole Group: […] euros for the fiscal year ending December 31, 2014; BFCM: […] euros for the same fiscal year; target real estate asset: […] euros for the same fiscal year). Each of these companies has achieved in France a turnover exceeding 50 million euros (Crédit Agricole Group: […] euros for the fiscal year ending December 31, 2014; BFCM: […] euros for the same fiscal year; target real estate asset: […] euros for the same fiscal year). Given these turnovers, the thresholds set out in Article 1, paragraph 2, a) and b) of Regulation (EC) No. 139/2004 of the Council of January 20, 2004 are exceeded. However, since each of the concerned companies generates more than two-thirds of its turnover in the European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6. The operation leads to an overlap of activities in the real estate services sector.</w:t>
        <w:br/>
        <w:t>1 Article 14 of the statutes of the SCI MPA.</w:t>
        <w:br/>
        <w:t>2</w:t>
      </w:r>
    </w:p>
    <w:p>
      <w:r>
        <w:t>A. DELIMITATION OF PRODUCT AND SERVICE MARKETS</w:t>
        <w:br/>
        <w:t>7. National2 and European3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(offices4, commercial premises, and other activity premises5), and (iv) the nature of the services or goods offered.</w:t>
        <w:br/>
        <w:t>8. For this last segmentation, the following services have been identified:</w:t>
        <w:br/>
        <w:t>(i) real estate development, which includes construction and sale activities of real estate properties;</w:t>
        <w:br/>
        <w:t>(ii) asset management of real estate for own account;</w:t>
        <w:br/>
        <w:t>(iii) asset management of real estate for third parties (institutional investors, mainly banks and insurance companies) which covers advisory and management of real estate portfolios (arbitrage and valuation of assets), structuring of real estate investment operations, and management of real estate assets and specialized investment vehicles (notably civil real estate companies);</w:t>
        <w:br/>
        <w:t>(iv) property management which covers the activities of managing buildings on behalf of owners and can be segmented between rental management and co-ownership management;</w:t>
        <w:br/>
        <w:t>(v) real estate expertise;</w:t>
        <w:br/>
        <w:t>(vi) real estate consulting;</w:t>
        <w:br/>
        <w:t>(vii) intermediation in real estate transactions for which intermediation in purchase/sale operations is distinguished from intermediation in rental operations.</w:t>
        <w:br/>
        <w:t>9. In this case, the parties are simultaneously active in the markets for the management for own account of real estate assets for office use.</w:t>
        <w:br/>
        <w:t>10. The question of the exact delimitation of markets in the real estate sector can, however, be left open as it has no impact on the competitive analysis.</w:t>
        <w:br/>
        <w:t>2 See notably the decisions of the Competition Authority No. 16-DCC-02 of January 11, 2016 regarding the joint control of a real estate asset located in Marseille by the BPCE group and the Caisse des Dépôts et Consignations; No. 15-DCC-128 of September 21, 2015 regarding the joint control of a real estate asset located in Rennes by the BPCE group and the Caisse des Dépôts et Consignations; No. 09-DCC-16 of June 22, 2009 regarding the merger between the Caisse d’Épargne and Banque Populaire groups; No. 14-DCC-46 of April 1, 2014 regarding the joint control of an industrial real estate asset in Moselle by Norges Bank and Prologis; No. 15-DCC-156 regarding the joint control of an office real estate asset by Sogecap and Predica as well as the decision C2008-79 / Letter from the Minister of Economy, Industry and Employment dated August 22, 2008, to the councils of the companies CDC and Eurosic, regarding a concentration in the real estate sector, BOCCRF No. 8 bis of October 23, 2008.</w:t>
        <w:br/>
        <w:t>3 See the decisions of the European Commission COMP/M.2110 Deutsche Bank / SEI / JV of September 25, 2000, IV/M.2825 Fortis AG SA / Bernheim-Comofi SA of July 9, 2002 COMP/M.3370 BNP Paribas/ARI of March 9, 2004.</w:t>
        <w:br/>
        <w:t>4 See the decisions of the Competition Authority No. 12-DCC-156 of November 12, 2012 regarding the joint control of a civil real estate company for the acquisition of an office building by CNP Assurance and Sogecap and No. 12-DCC-157 of November 15, 2012 regarding the joint control of a civil real estate company for the holding of an office building located in Lyon by the companies Prédica and the Caisse des Dépôts et Consignations.</w:t>
        <w:br/>
        <w:t>5 See notably the decision of the Competition Authority No. 13-DCC-146 of October 22, 2013 regarding the joint control of a civil real estate company for the holding of a real estate asset for use as a nursing home by Foncière Malherbe Claudel (Crédit Agricole Group) and the Caisse des Dépôts et Consignations.</w:t>
      </w:r>
    </w:p>
    <w:p>
      <w:r>
        <w:rPr>
          <w:b/>
        </w:rPr>
        <w:t>[Pages 4–5]</w:t>
      </w:r>
    </w:p>
    <w:p>
      <w:r>
        <w:t>B. THE GEOGRAPHIC MARKETS</w:t>
        <w:br/>
        <w:t>11. Decision-making practice6 considers that real estate services markets for individuals are of a local dimension. While leaving the question open, decision-making practice has also conducted an analysis at the national level for operations carried out by groups with a national scope following a strategy of establishment in shopping centers according to a territorial network logic7.</w:t>
        <w:br/>
        <w:t>12. In particular, regarding the market for the holding and management of real estate assets for own account, competition authorities have conducted their competitive analyses at the regional or sub-regional level.</w:t>
        <w:br/>
        <w:t>13. In this case, the parties to the operation are all active in the Ile-de-France region, in the department of Hauts-de-Seine (92). In this regard, decision-making practice8 has noted that "the Paris region has particular properties of continuity of urban areas. Indeed, there is a vast, highly urbanized, and homogeneous area covering most of Ile-de-France, served by a comprehensive transport network; residents are always able to arbitrate between different parts of the region. This substitutability leads to a convergence of price levels. Therefore, the regional level is the most appropriate for competitive analysis"9.</w:t>
        <w:br/>
        <w:t>14. In this case, the analysis will therefore be conducted at the levels of the Ile-de-France region, the department of Hauts-de-Seine (92), and the city of Neuilly-sur-Seine.</w:t>
        <w:br/>
        <w:t>15. The question of the exact delimitation of the geographic markets in the real estate sector may, however, be left open insofar as it has no impact on the competitive analysis.</w:t>
        <w:br/>
        <w:t>III. Competitive Analysis</w:t>
        <w:br/>
        <w:t>16. At the regional level (Ile-de-France) and departmental level (Hauts-de-Seine (92)), the parties estimate that they hold a market share of less than [0-5] %. At the level of the city of Neuilly-sur-Seine, the market share of the new entity will be less than [5-10] % regardless of the segmentation retained.</w:t>
        <w:br/>
        <w:t>17. The new entity will also remain subject to competition from numerous real estate companies (such as Gecina, Cilic, Unibail, Klépierre, or Société foncière Lyonnaise), insurance companies (such as Axa, Predica, CNP, Allianz, Generali, Groupama, or Macif), investment funds (such as Icade, Genica, Unibail Rodamco, La Française, Primonial, or Blackstone), or banks (such as BNP Paribas, Deka, HSBC, Natixis, Crédit Agricole).</w:t>
        <w:br/>
        <w:t>18. Consequently, the operation is not likely to harm competition in the various markets for the holding and management of real estate assets for own account.</w:t>
        <w:br/>
        <w:t>DECIDES</w:t>
        <w:br/>
        <w:t>Sole Article: The operation notified under number 15-243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