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https://www.autoritedelaconcurrence.fr/fr/decision-de-controle-des-concentrations/relative-la-prise-de-controle-conjoint-dun-actif-4</w:t>
      </w:r>
    </w:p>
    <w:p>
      <w:r>
        <w:t>Pages translated : 5</w:t>
      </w:r>
    </w:p>
    <w:p/>
    <w:p>
      <w:r>
        <w:rPr>
          <w:b/>
        </w:rPr>
        <w:t>[Pages 1–3]</w:t>
      </w:r>
    </w:p>
    <w:p>
      <w:r>
        <w:t xml:space="preserve">FRENCH REPUBLIC  </w:t>
        <w:br/>
        <w:t xml:space="preserve">Decision No. 16-DCC-32 of February 29, 2016  </w:t>
        <w:br/>
        <w:t xml:space="preserve">regarding the joint control of a commercial real estate asset located in Villebon-sur-Yvette (91) by the Crédit Agricole Group and the Federative Bank of the Crédit Mutuel  </w:t>
        <w:br/>
        <w:t xml:space="preserve">The Competition Authority,  </w:t>
        <w:br/>
        <w:t xml:space="preserve">Having regard to the notification file submitted in full to the concentrations service on January 28, 2016, regarding the joint control of a commercial real estate asset located in Villebon-sur-Yvette (91) by the Crédit Agricole Group and the Federative Bank of the Crédit Mutuel, formalized by a firm offer letter dated December 24, 2015, and an investment protocol dated January 7, 2016;  </w:t>
        <w:br/>
        <w:t xml:space="preserve">Having regard to Book IV of the Commercial Code relating to price freedom and competition, and in particular its Articles L. 430-1 to L. 430-7;  </w:t>
        <w:br/>
        <w:t xml:space="preserve">Adopts the following decision:  </w:t>
        <w:br/>
        <w:t xml:space="preserve">I. The concerned companies and the operation  </w:t>
        <w:br/>
        <w:t xml:space="preserve">1. Crédit Agricole Group (hereinafter, "GCA") is a French mutual group, offering a wide range of banking and insurance services. The Crédit Agricole Group notably controls the company Crédit Agricole Assurances (hereinafter, "CAA") which offers insurance products primarily intended for professionals as well as personal insurance products.  </w:t>
        <w:br/>
        <w:t xml:space="preserve">2. The company Federative Bank of the Crédit Mutuel (hereinafter, "BFCM") is the holding company of a mutual banking group made up of 11 regional federations of Crédit Mutuel. The BFCM group engages in retail banking, financing banking, private banking, insurance, market, and venture capital. BFCM controls the company Assurances du Crédit Mutuel Vie SA (hereinafter, "ACM") which markets personal insurance products aimed at the individual clientele of the group.  </w:t>
        <w:br/>
        <w:t xml:space="preserve">3. The target is a commercial real estate complex located in Villebon-sur-Yvette (91), currently owned by the investment company Hammerson PLC.  </w:t>
        <w:br/>
        <w:t xml:space="preserve">4. The operation, formalized by a firm offer letter dated December 24, 2015, and an investment protocol dated January 7, 2016, consists of the acquisition of the target asset, through the intermediary of SCI Frey Retail Villebon specially created for the needs of the operation. Pursuant to the statutes of the SCI and the draft shareholders' agreement, the target will be subject to joint control by the companies CAA and ACM as strategic decisions, such as the approval of the annual budget or the conclusion and termination of leases, will be adopted by a two-thirds majority of the partners who respectively hold 47.5% of the shares and voting rights. The target of the operation is a real estate complex with an area of [...] m² and consisting of a parking lot with [...] spaces and [...] units currently rented to national and international brands (Darty, ToysRus, Intersport) for an annual rent of [...] euros. The building thus constitutes an asset generating revenue.  </w:t>
        <w:br/>
        <w:t xml:space="preserve">5. Insofar as it results in the joint control by the Crédit Agricole Group and the Federative Bank of the Crédit Mutuel of a building for commercial premises, the operation constitutes a concentration within the meaning of Article L. 430-1 of the Commercial Code.  </w:t>
        <w:br/>
        <w:t xml:space="preserve">6. The concerned companies together achieve a total worldwide turnover excluding tax of more than 150 million euros (Crédit Agricole Group: [...] euros as of December 31, 2014; BFCM: [...] euros for the same fiscal year). At least two of these companies achieve a turnover in France exceeding 50 million euros (Crédit Agricole Group: [...] euros as of December 31, 2014; BFCM: [...] euros for the same fiscal year). Given these turnover figures, the thresholds set out in Article 1, paragraph 2, a) and b) of Regulation (EC) No. 139/2004 of the Council of January 20, 2004 are met. However, since each of the concerned companies generates more than two-thirds of its turnover in the European Union in France,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concentrations.  </w:t>
        <w:br/>
        <w:t xml:space="preserve">II. Delimitation of relevant markets  </w:t>
        <w:br/>
        <w:t xml:space="preserve">7. The operation leads to an overlap of activities in the real estate services sector.  </w:t>
        <w:br/>
        <w:t xml:space="preserve">A. THE MARKETS OF PRODUCTS AND SERVICES CONCERNED  </w:t>
        <w:br/>
        <w:t xml:space="preserve">8. National1 and European2 competition authorities have considered, while leaving the question open, various segmentations in the real estate services sector according to (i) the recipients of the services (individuals or businesses), (ii) the pricing method (free residential real estate and social or intermediate housing), (iii) the type of activity carried out in the premises (offices3, commercial premises4, and other activity premises5), and (iv) the nature of the services or goods offered6.  </w:t>
        <w:br/>
        <w:t xml:space="preserve">9. For this last segmentation, the following services have been identified:  </w:t>
        <w:br/>
        <w:t xml:space="preserve">(i) real estate promotion which includes construction and sale activities of real estate properties;  </w:t>
        <w:br/>
        <w:t xml:space="preserve">(ii) management of real estate assets for own account;  </w:t>
        <w:br/>
        <w:t xml:space="preserve">(iii) management of real estate assets for third-party accounts (institutional investors, mainly banks and insurance companies) which covers advisory and real estate portfolio management (arbitrage and asset valuation), structuring of real estate investment operations, and management of real estate assets and specialized investment vehicles (notably real estate civil companies);  </w:t>
        <w:br/>
        <w:t xml:space="preserve">(iv) property management which covers the activities of managing buildings on behalf of owners and can be segmented between rental management and co-ownership management;  </w:t>
        <w:br/>
        <w:t xml:space="preserve">(v) real estate appraisal;  </w:t>
        <w:br/>
        <w:t xml:space="preserve">(vi) real estate consulting;  </w:t>
        <w:br/>
        <w:t xml:space="preserve">(vii) intermediation in real estate transactions for which intermediation in purchase/sale operations is distinguished from intermediation in leasing operations.  </w:t>
        <w:br/>
        <w:t xml:space="preserve">10. In this case, the parties are simultaneously active in the markets for the holding and management for own account of commercial real estate assets.  </w:t>
        <w:br/>
        <w:t xml:space="preserve">11. French decision-making practice, while leaving the question open, has considered a segmentation between shopping centers and commercial premises at the foot of buildings7, as well as a segmentation of shopping centers according to their size, namely:  </w:t>
        <w:br/>
        <w:t xml:space="preserve">(i) small shopping centers ("PCC"), with a gross leasable area between 5,000 and 20,000 m² and containing between 20 and 40 shops (stores and services);  </w:t>
        <w:br/>
        <w:t xml:space="preserve">(ii) large shopping centers ("GCC"), with a gross leasable area between 20,000 and 40,000 m² and containing between 40 and 80 shops;  </w:t>
        <w:br/>
        <w:t xml:space="preserve">3 See notably the decision of the Competition Authority No. 12-DCC-156 of November 12, 2012, regarding the joint control of a real estate civil company for the acquisition of an office building by CNP Assurance and Sogecap, and No. 12-DCC-157 of November 15, 2012, regarding the joint control of a real estate civil company for the holding of an office building located in Lyon by the companies Prédica and the Caisse des Dépôts et Consignations.  </w:t>
        <w:br/>
        <w:t xml:space="preserve">4 See the Letter from the Minister of Economy, Finance and Industry C2004-123 of July 22, 2004, to the advisors of the company Immobiliaria Colonial SA regarding a concentration in the commercial premises rental sector.  </w:t>
        <w:br/>
        <w:t xml:space="preserve">5 See notably the decision of the Competition Authority No. 13-DCC-146 of October 22, 2013, regarding the joint control of a real estate civil company for the holding of a real estate asset for EHPAD by Foncière Malherbe Claudel (Crédit Agricole Group) and the Caisse des Dépôts et Consignations.  </w:t>
        <w:br/>
        <w:t xml:space="preserve">6 See the decisions of the Competition Authority No. 11-DCC-178 of December 13, 2011, regarding the joint control by the Caisse des Dépôts et Consignations and CNP Assurances of the company Althazar SAS, No. 10-DCC-112 of September 17, 2010, regarding the joint control by Prédica and Altaréa of the company Alta Marigny Carré de Soie, and the letter from the Minister of Economy C2007-52 of May 22, 2007, to the advisors of the company Unibail, regarding a concentration in the real estate services sector.  </w:t>
        <w:br/>
        <w:t>7 See the decision of the Competition Authority No. 11-DCC-178 of December 13, 2011, and the letter from the Minister of Economy C2007-52 of May 22, 2007, and the decision of the Competition Authority No. 14-DCC-36 of March 18, 2014, regarding the exclusive control by the Carrefour group of a portfolio of 57 shopping galleries from the company Klépierre.</w:t>
      </w:r>
    </w:p>
    <w:p>
      <w:r>
        <w:rPr>
          <w:b/>
        </w:rPr>
        <w:t>[Pages 4–5]</w:t>
      </w:r>
    </w:p>
    <w:p>
      <w:r>
        <w:t xml:space="preserve">(iii) regional shopping centers ("RSC"), with a gross leasable area exceeding 40,000 m² and more than 80 shops; and  </w:t>
        <w:br/>
        <w:t xml:space="preserve">(iv) specialized theme centers ("STC"), for example, in home equipment and manufacturer stores.  </w:t>
        <w:br/>
        <w:t xml:space="preserve">12. The question of the exact delineation of real estate sector markets can, however, be left open insofar as the conclusions of the competitive analysis of the present operation remain unchanged regardless of the assumptions made.  </w:t>
        <w:br/>
        <w:t xml:space="preserve">13. In this case, the asset acquired is a commercial real estate complex with an area of [...] m².  </w:t>
        <w:br/>
        <w:t xml:space="preserve">B. GEOGRAPHIC MARKETS  </w:t>
        <w:br/>
        <w:t xml:space="preserve">14. French decision-making practice has considered that the markets for self-managed shopping centers could be of national or sub-national dimension, while leaving the question open.  </w:t>
        <w:br/>
        <w:t xml:space="preserve">15. At the national level, decision-making practice has already noted that part of the demand comes from nationally significant groups following a strategy of establishing themselves in shopping centers according to a territory networking logic. Furthermore, it has considered, while leaving the question open, that the market for real estate services is of national dimension when investments are made by large professional investors8.  </w:t>
        <w:br/>
        <w:t xml:space="preserve">16. At the sub-national level, two levels of analysis have so far been retained: the region and the agglomeration, with the analysis generally conducted at the regional level when the size of the urban area is too small to allow for a genuine competitive analysis.  </w:t>
        <w:br/>
        <w:t xml:space="preserve">17. Specifically regarding Île-de-France, French decision-making practice holds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at the price level. Therefore, the regional level is the most appropriate for competitive analysis"9.  </w:t>
        <w:br/>
        <w:t xml:space="preserve">18. In this case, the analysis will therefore be conducted at the national level, in the Île-de-France region and in the Essonne department (91).  </w:t>
        <w:br/>
        <w:t xml:space="preserve">III. Competitive Analysis  </w:t>
        <w:br/>
        <w:t xml:space="preserve">19. At the national and regional levels, according to the estimates provided by the parties, the market share of the new entity will remain below [0-5]% regardless of the segmentation considered.  </w:t>
        <w:br/>
        <w:t xml:space="preserve">8 See the decision of the Autorité de la concurrence n°10-DCC-112 of September 17, 2010, and the letters from the Minister of Economy C2007-85 of July 16, 2007, to the advisors of the company Compagnie Altarea Habitation, regarding a concentration in the residential real estate promotion sector and C2007-52 of May 22, 2007.  </w:t>
        <w:br/>
        <w:t xml:space="preserve">9 See the decision of the Autorité de la concurrence n°11-DCC-178 of December 13, 2011.  </w:t>
        <w:br/>
        <w:t>4</w:t>
      </w:r>
    </w:p>
    <w:p>
      <w:r>
        <w:t xml:space="preserve">It will also remain subject to competition from numerous competing operators such as Klépierre and Mercialys.  </w:t>
        <w:br/>
        <w:t xml:space="preserve">20. At the departmental level, according to the data provided by the parties, the market share of the new entity will remain below [20-30]% regardless of the segmentation considered. It will also remain subject to competition from four shopping centers with an area between 39,000 and 85,000 m².  </w:t>
        <w:br/>
        <w:t xml:space="preserve">21. Consequently, the operation is not likely to harm competition in the various markets for the ownership and self-management of real estate assets for commercial premises.  </w:t>
        <w:br/>
        <w:t xml:space="preserve">DECIDES  </w:t>
        <w:br/>
        <w:t xml:space="preserve">Sole Article: The operation notified under number 16-004 is authorized.  </w:t>
        <w:br/>
        <w:t xml:space="preserve">The Vice-President,  </w:t>
        <w:br/>
        <w:t xml:space="preserve">Claire Favre  </w:t>
        <w:br/>
        <w:t xml:space="preserve">© Autorité de la concurrence  </w:t>
        <w:br/>
        <w:t>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