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https://www.autoritedelaconcurrence.fr/fr/decision-de-controle-des-concentrations/relative-la-prise-de-controle-conjoint-dun-actif-5</w:t>
      </w:r>
    </w:p>
    <w:p>
      <w:r>
        <w:t>Pages translated : 5</w:t>
      </w:r>
    </w:p>
    <w:p/>
    <w:p>
      <w:r>
        <w:rPr>
          <w:b/>
        </w:rPr>
        <w:t>[Pages 1–3]</w:t>
      </w:r>
    </w:p>
    <w:p>
      <w:r>
        <w:t>FRENCH REPUBLIC</w:t>
        <w:br/>
        <w:t>Decision No. 16-DCC-50 of April 7, 2016</w:t>
        <w:br/>
        <w:t>regarding the joint control of a real estate asset located in</w:t>
        <w:br/>
        <w:t>Toulouse by the company Oppidéa, the company Immo Retail, and the Caisse</w:t>
        <w:br/>
        <w:t>des Dépôts et Consignations</w:t>
        <w:br/>
        <w:t>The Competition Authority,</w:t>
        <w:br/>
        <w:t>Having regard to the notification file submitted in full to the merger service on March 14, 2016,</w:t>
        <w:br/>
        <w:t>regarding the joint control of a real estate asset located in Toulouse by the company</w:t>
        <w:br/>
        <w:t>Oppidéa, the company Immo Retail, and the Caisse des Dépôts et Consignations, formalized by a</w:t>
        <w:br/>
        <w:t>sale project dated December 4, 2015;</w:t>
        <w:br/>
        <w:t>Having regard to Book IV of the Commercial Code relating to the freedom of prices and competition, and</w:t>
        <w:br/>
        <w:t>notably its Articles L. 430-1 to L. 430-7;</w:t>
        <w:br/>
        <w:t>Having regard to the supplementary elements transmitted by the parties during the investigation;</w:t>
        <w:br/>
        <w:t>Adopts the following decision:</w:t>
        <w:br/>
        <w:t>I. The concerned companies and the operation</w:t>
        <w:br/>
        <w:t>1. Oppidéa is a local mixed-economy public limited company whose purpose is to ensure the study,</w:t>
        <w:br/>
        <w:t>the realization, and the marketing of any project related to local development, in</w:t>
        <w:br/>
        <w:t>urban planning or economic matters. Oppidéa mainly operates on behalf of local authorities and public</w:t>
        <w:br/>
        <w:t>actors.</w:t>
        <w:br/>
        <w:t>2. Immo Retail is a heritage investment company whose purpose is the acquisition of</w:t>
        <w:br/>
        <w:t>all real estate assets and rights, the activity of a property trader, renovation, management,</w:t>
        <w:br/>
        <w:t>leasing, and disposal of real estate. Immo Retail is 100% owned by Frédéric</w:t>
        <w:br/>
        <w:t>Carrère Finance SAS (hereinafter, the "FCF" group), a company at the head of the Carrère group, which</w:t>
        <w:br/>
        <w:t>is itself 100% owned by Mr. Frédéric Carrère.</w:t>
        <w:br/>
        <w:t>3. The Caisse des Dépôts et Consignations (hereinafter, "the CDC") is a public establishment with</w:t>
        <w:br/>
        <w:t>special legal status, governed by Articles L. 518-2 and following of the Monetary and Financial Code,</w:t>
        <w:br/>
        <w:t>which fulfills missions of general interest in support of public policies conducted by</w:t>
        <w:br/>
        <w:t>the State and local authorities, and which carries out activities open to competition. These</w:t>
        <w:br/>
        <w:t>are grouped around four sectors: (i) the environment, (ii) real estate through</w:t>
        <w:br/>
        <w:t>the subsidiaries Société Nationale Immobilière and Icade, (iii) investment and private equity, and (iv) services. Created by the law of April 28, 1816, the CDC is placed</w:t>
        <w:br/>
        <w:t>"under the supervision and guarantee of the legislative authority," this mode of governance being</w:t>
        <w:br/>
        <w:t>intended to ensure the autonomy of this institution which manages private funds requiring a</w:t>
        <w:br/>
        <w:t>special protection.</w:t>
        <w:br/>
        <w:t>4. The target of the operation is a commercial hub under construction comprising premises for</w:t>
        <w:br/>
        <w:t>commercial use with a gross leasable area of 2,002 m², located in the Empalot district,</w:t>
        <w:br/>
        <w:t>avenue Jean Moulin in Toulouse (31) within a future real estate complex with a planned area of</w:t>
        <w:br/>
        <w:t>10,821 m². The building is currently owned by the company Gotham, via the</w:t>
        <w:br/>
        <w:t>real estate civil company Cœur Garonne, which is itself owned by FCF.</w:t>
        <w:br/>
        <w:t>5. The real estate complex will be acquired under a sale contract in future state of completion (hereinafter, "VEFA") and will therefore not generate, at the time of acquisition, any</w:t>
        <w:br/>
        <w:t>revenue from third parties. However, the real estate complex has already been the subject of lease projects in future state of completion (hereinafter, "BEFA"), for a duration of 9 years with the</w:t>
        <w:br/>
        <w:t>companies Pharmacie Empalot and Leader Price Expansion, both accompanied by written commitments. The building is therefore an asset expected to generate revenue in the short term and with certainty.</w:t>
        <w:br/>
        <w:t>6. The notified operation, formalized by a shareholders' agreement dated January 16, 2014, as well as</w:t>
        <w:br/>
        <w:t>by a draft sale contract in future state of completion dated December 4, 2015,</w:t>
        <w:br/>
        <w:t>consists of the acquisition of the target by the company Empalot Commerces, created for the needs</w:t>
        <w:br/>
        <w:t>of the operation and which will be owned 45% by Immo Retail, 30%* by Oppidéa, and 25% by the</w:t>
        <w:br/>
        <w:t>CDC. Immo Retail, Oppidéa, and the CDC will exercise joint control over the target asset, to</w:t>
        <w:br/>
        <w:t>the extent that, in accordance with the provisions of the shareholders' agreement and the statutes of the company</w:t>
        <w:br/>
        <w:t>Empalot Commerces, strategic decisions regarding its activity will be adopted unanimously by the partners.</w:t>
        <w:br/>
        <w:t>7. As it results in the joint control of the target by Immo Retail, Oppidéa,</w:t>
        <w:br/>
        <w:t>and the CDC, the operation constitutes a concentration within the meaning of Article L. 430-1 of the Commercial Code.</w:t>
        <w:br/>
        <w:t>8. The concerned companies together achieve a total worldwide turnover excluding taxes of more than 150 million euros (Immo Retail: […] euros for the fiscal year ending December 31, 2014; Oppidéa: […] euros for the same fiscal year; CDC: […] euros for the same fiscal year). Each of these companies has achieved in France a turnover</w:t>
        <w:br/>
        <w:t>exceeding 50 million euros (Immo Retail: […] euros for the fiscal year ending December 31, 2014; Oppidéa: […] euros for the same fiscal year; CDC: […] euros for the same fiscal year). Given these turnover figures, the thresholds set by Article 1,</w:t>
        <w:br/>
        <w:t>paragraph 2, a) and b) of Council Regulation (EC) No. 139/2004 of January 20, 2004 are</w:t>
        <w:br/>
        <w:t>met. Nevertheless, since each of the concerned companies generates more than two-thirds of its</w:t>
        <w:br/>
        <w:t>turnover in the Union in France, the operation does not fall under the jurisdiction of</w:t>
        <w:br/>
        <w:t>the European Union. On the other hand, the control thresholds mentioned in I of Article L. 430-2</w:t>
        <w:br/>
        <w:t>of the Commercial Code are exceeded. This operation is therefore subject to the provisions of</w:t>
        <w:br/>
        <w:t>Articles L. 430-3 and following of the Commercial Code relating to economic concentration.</w:t>
        <w:br/>
        <w:t>1 See Article L. 518-2 of the Monetary and Financial Code.</w:t>
        <w:br/>
        <w:t>2 Articles 21, 22, and 23 of the statutes of Empalot Commerces.</w:t>
        <w:br/>
        <w:t>* Correction of a material error.</w:t>
      </w:r>
    </w:p>
    <w:p>
      <w:r>
        <w:t>II. Delimitation of Relevant Markets</w:t>
        <w:br/>
        <w:t>9. The operation results in an overlap of activities in the real estate services sector.</w:t>
        <w:br/>
        <w:t>A. DELIMITATION OF PRODUCT AND SERVICE MARKETS</w:t>
        <w:br/>
        <w:t>10. National3 and European4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(offices5, commercial premises, and other activity premises6), and (iv) the nature of the services or goods offered.</w:t>
        <w:br/>
        <w:t>11. For this last segmentation, the following services have been identified:</w:t>
        <w:br/>
        <w:t>(i) real estate promotion which includes construction and sale activities of</w:t>
        <w:br/>
        <w:t>real estate;</w:t>
        <w:br/>
        <w:t>(ii) management of real estate assets for one's own account;</w:t>
        <w:br/>
        <w:t>(iii) management of real estate assets on behalf of third parties (institutional investors, mainly banks and insurance companies) which covers advice and management of real estate portfolios (arbitration and valuation of</w:t>
        <w:br/>
        <w:t>assets), structuring of real estate investment operations, and management of real estate assets and specialized investment vehicles (notably real estate civil companies);</w:t>
        <w:br/>
        <w:t>(iv) property management which covers the activities of managing buildings on behalf of owners and can be segmented between rental management and co-ownership management;</w:t>
        <w:br/>
        <w:t>(v) real estate appraisal;</w:t>
        <w:br/>
        <w:t>(vi) real estate consulting;</w:t>
        <w:br/>
        <w:t>(vii) intermediation in real estate transactions for which intermediation</w:t>
        <w:br/>
        <w:t>in purchase/sale operations is distinguished from intermediation in leasing operations.</w:t>
        <w:br/>
        <w:t>3 See notably the decisions of the Competition Authority No. 16-DCC-02 of January 11, 2016 regarding the joint control of a real estate asset located in Marseille by the BPCE group and the Caisse des Dépôts et Consignations; No. 15-DCC-128 of September 21, 2015 regarding the joint control of a real estate asset located in Rennes by the BPCE group and the Caisse des Dépôts et Consignations; No. 09-DCC-16 of June 22, 2009 regarding the merger between the Caisse d’Épargne and Banque Populaire groups; No. 14-DCC-46 of April 1, 2014 regarding the joint control of an industrial real estate asset in Moselle by Norges Bank and Prologis as well as decision C2008-79 / Letter from the Minister of Economy, Industry and Employment of August 22, 2008, to the boards of the CDC and Eurosic, regarding a concentration in the real estate sector, BOCCRF No. 8 bis of October 23, 2008.</w:t>
        <w:br/>
        <w:t>4 See the decisions of the European Commission COMP/M.2110 Deutsche Bank / SEI / JV of September 25, 2000, IV/M.2825 Fortis AG SA / Bernheim-Comofi SA of July 9, 2002 COMP/M.3370 BNP Paribas/ARI of March 9, 2004.</w:t>
        <w:br/>
        <w:t>5 See the decisions of the Competition Authority No. 12-DCC-156 of November 12, 2012 regarding the joint control of a real estate civil company for the acquisition of an office building by CNP Assurance and Sogecap and No. 12-DCC-157 of November 15, 2012 regarding the joint control of a real estate civil company for the holding of an office building located in Lyon by the companies Prédica and the Caisse des Dépôts et Consignations.</w:t>
        <w:br/>
        <w:t>6 See notably the decision of the Competition Authority No. 13-DCC-146 of October 22, 2013 regarding the joint control of a real estate civil company for the holding of a real estate asset for use as a nursing home by Foncière Malherbe Claudel (Crédit Agricole Group) and the Caisse des Dépôts et Consignations.</w:t>
      </w:r>
    </w:p>
    <w:p>
      <w:r>
        <w:rPr>
          <w:b/>
        </w:rPr>
        <w:t>[Pages 4–5]</w:t>
      </w:r>
    </w:p>
    <w:p>
      <w:r>
        <w:t xml:space="preserve">12. Regarding segmentation according to the type of activity conducted on the premises, the following sub-markets have been identified: (i) office premises; (ii) commercial premises; and (iii) other activity premises.  </w:t>
        <w:br/>
        <w:t xml:space="preserve">13. In the present case, the parties are simultaneously active in the markets for the management of real estate assets for commercial use on their own account.  </w:t>
        <w:br/>
        <w:t xml:space="preserve">14. Concerning segmentation according to the destination of the premises, commercial premises located in shopping centers can be distinguished from commercial premises located at street level. In this case, only the segment of commercial premises located at street level is concerned by the operation.  </w:t>
        <w:br/>
        <w:t xml:space="preserve">15. The question of the exact delimitation of the real estate sector markets can, however, be left open insofar as it has no impact on the competitive analysis.  </w:t>
        <w:br/>
        <w:t xml:space="preserve">B. GEOGRAPHICAL MARKETS  </w:t>
        <w:br/>
        <w:t xml:space="preserve">16. The decisional practice considers that the markets for real estate services aimed at individuals are of a local dimension. While leaving the question open, the decisional practice has also conducted an analysis at the national level for operations carried out by groups of national scope following a strategy of establishment in shopping centers according to a logic of territorial coverage.  </w:t>
        <w:br/>
        <w:t xml:space="preserve">17. For regions outside Île-de-France, competition authorities have conducted their competitive analyses at the regional or sub-regional level. In its recent decisions, the Authority has examined the effects of operations at the level of urban areas.  </w:t>
        <w:br/>
        <w:t xml:space="preserve">18. In the present case, the analysis will therefore be conducted at the levels of the former Midi-Pyrénées region, the department of Haute-Garonne (31), and the city of Toulouse.  </w:t>
        <w:br/>
        <w:t xml:space="preserve">19. The question of the exact delimitation of the geographical markets in the real estate sector can, however, be left open insofar as it has no impact on the competitive analysis.  </w:t>
        <w:br/>
        <w:t xml:space="preserve">7 See in particular the decision of the Competition Authority No. 13-DCC-80 of July 3, 2013, regarding the joint control of the urban skills hub of Bordeaux by the company Midi Foncière 2 and the Caisse des Dépôts et Consignations.  </w:t>
        <w:br/>
        <w:t xml:space="preserve">8 Id.  </w:t>
        <w:br/>
        <w:t xml:space="preserve">9 See in particular the decisions of the Competition Authority No. 16-DCC-002 of January 11, 2016, regarding the joint control of a real estate asset located in Marseille by the BPCE group and the Caisse des Dépôts et Consignations; No. 15-DCC-56 of May 20, 2015, regarding the joint control of a real estate complex in Ollioules by the BPCE group and the Caisse des Dépôts et Consignations; No. 12-DCC-18 of February 13, 2012, regarding the exclusive control of the rental real estate company for industry and commerce by the company Icade.  </w:t>
        <w:br/>
        <w:t xml:space="preserve">10 See in particular the letter from the Minister of Economy, Finance and Employment C2007-52, cited above, and the decision of the Competition Authority No. 14-DCC-166 of November 13, 2014, regarding the exclusive control by Klépierre SA of Corio NV.  </w:t>
        <w:br/>
        <w:t>11 See the decisions of the Competition Authority No. 16-DCC-02 of January 11, 2016, regarding the joint control of a real estate asset located in Marseille by the BPCE group and the Caisse des Dépôts et Consignations; No. 14-DCC-36 of March 18, 2014, regarding the exclusive control by the Carrefour group of a portfolio of 57 shopping galleries from the company Klépierre; No. 14-DCC-164 of November 13, 2014, regarding the exclusive control by the Carrefour group of a portfolio of six shopping galleries from the company Unibail-Rodamco; and Decision No. 14-DCC-166 of November 13, 2014, regarding the exclusive control by Klépierre SA of Corio NV.</w:t>
      </w:r>
    </w:p>
    <w:p>
      <w:r>
        <w:t xml:space="preserve">III. Competitive Analysis  </w:t>
        <w:br/>
        <w:t xml:space="preserve">20. At the regional (Midi-Pyrénées), departmental (Haute-Garonne (31)), and city (Toulouse) levels, the parties estimate that they hold a market share of less than [0-5]% regardless of the segmentation retained. The new entity will also remain subject to competition from numerous operators such as Carmila, Imfined, Midi 2i, Sorepar, or Sodes.  </w:t>
        <w:br/>
        <w:t xml:space="preserve">21. Therefore, the operation is not likely to harm competition in the various markets for the ownership and management of real estate assets for their own account.  </w:t>
        <w:br/>
        <w:t xml:space="preserve">DECIDES  </w:t>
        <w:br/>
        <w:t xml:space="preserve">Sole Article: The operation notified under number 16-046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