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https://www.autoritedelaconcurrence.fr/fr/decision-de-controle-des-concentrations/relative-la-prise-de-controle-conjoint-dun-actif-6</w:t>
      </w:r>
    </w:p>
    <w:p>
      <w:r>
        <w:t>Pages translated : 5</w:t>
      </w:r>
    </w:p>
    <w:p/>
    <w:p>
      <w:r>
        <w:rPr>
          <w:b/>
        </w:rPr>
        <w:t>[Pages 1–3]</w:t>
      </w:r>
    </w:p>
    <w:p>
      <w:r>
        <w:t>FRENCH REPUBLIC</w:t>
        <w:br/>
        <w:t>Decision No. 16-DCC-78 of June 10, 2016</w:t>
        <w:br/>
        <w:t>regarding the joint control of a real estate asset located in</w:t>
        <w:br/>
        <w:t>Toulouse by the company Oppidéa and the Caisse des Dépôts et</w:t>
        <w:br/>
        <w:t>Consignations</w:t>
        <w:br/>
        <w:t>The Competition Authority,</w:t>
        <w:br/>
        <w:t>Having regard to the notification file submitted in full to the merger service on May 9, 2016,</w:t>
        <w:br/>
        <w:t>regarding the joint control of a real estate asset located in Toulouse by the company</w:t>
        <w:br/>
        <w:t>Oppidéa and the Caisse des Dépôts et Consignations, formalized by a promise of sale dated</w:t>
        <w:br/>
        <w:t>October 9, 2015, and a promise of sale in the future state of completion dated March 2, 2016;</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concerned companies and the operation</w:t>
        <w:br/>
        <w:t>1. Oppidéa is a local mixed-economy public limited company whose purpose is to ensure the study,</w:t>
        <w:br/>
        <w:t>the realization, and the marketing of any project related to local development, in terms of urban</w:t>
        <w:br/>
        <w:t>planning or economic matters. Oppidéa mainly operates on behalf of local authorities and public</w:t>
        <w:br/>
        <w:t>actors.</w:t>
        <w:br/>
        <w:t>2. The Caisse des Dépôts et Consignations (hereinafter, "the CDC") is a public institution with a</w:t>
        <w:br/>
        <w:t>special legal status, governed by Articles L. 518-2 and following of the Monetary and Financial Code,</w:t>
        <w:br/>
        <w:t>which fulfills missions of general interest in support of public policies conducted by the State and</w:t>
        <w:br/>
        <w:t>local authorities, and which engages in activities open to competition. These activities are grouped</w:t>
        <w:br/>
        <w:t>around four poles: (i) the environment, (ii) real estate through its subsidiaries Société Nationale</w:t>
        <w:br/>
        <w:t>Immobilière and Icade, (iii) investment and private equity, and (iv) services. Established by the law</w:t>
        <w:br/>
        <w:t>of April 28, 1816, the CDC is placed "under the supervision and guarantee of the legislative authority,"</w:t>
        <w:br/>
        <w:t>this governance mode being intended to ensure the autonomy of this institution which manages private</w:t>
        <w:br/>
        <w:t>funds requiring special protection.</w:t>
        <w:br/>
        <w:t>3. The target of the operation is a commercial complex under construction comprising premises for</w:t>
        <w:br/>
        <w:t>commercial use with a gross leasable area of 1,304 m², located in the ZAC de Bourderouge, at the</w:t>
        <w:br/>
        <w:t>place known as 48 Chemin des Izards, in Toulouse (31). The complex is currently owned by SCI</w:t>
        <w:br/>
        <w:t>Toulouse Micoulaud, a subsidiary of the Nexity group, and HLM Le Nouveau Logis Méridional.</w:t>
        <w:br/>
        <w:t>4. The real estate complex will be acquired under a sale contract in the future state of completion</w:t>
        <w:br/>
        <w:t>(hereinafter, "VEFA") and will therefore not generate any turnover from third parties on the day of</w:t>
        <w:br/>
        <w:t>acquisition. However, the real estate complex has already been the subject of future state of</w:t>
        <w:br/>
        <w:t>completion lease projects (hereinafter, "BEFA"), for a duration of 9 years with several companies,</w:t>
        <w:br/>
        <w:t>which have validated the principles. The building is therefore an asset expected to generate turnover</w:t>
        <w:br/>
        <w:t>in the short term and with certainty.</w:t>
        <w:br/>
        <w:t>5. The notified operation, formalized by a promise of sale dated October 9, 2015, and a promise of</w:t>
        <w:br/>
        <w:t>sale in the future state of completion dated March 2, 2016, consists of the acquisition of the target by</w:t>
        <w:br/>
        <w:t>the company SAS Micoulaud Commerces, created for the needs of the operation and which will be</w:t>
        <w:br/>
        <w:t>owned 60% by Oppidéa and 40% by the CDC. Oppidéa and the CDC will exercise joint control over</w:t>
        <w:br/>
        <w:t>the target asset, insofar as, in accordance with the provisions of the shareholders' agreement and the</w:t>
        <w:br/>
        <w:t>company's bylaws, strategic decisions relating to its activity will be adopted unanimously by the</w:t>
        <w:br/>
        <w:t>partners.</w:t>
        <w:br/>
        <w:t>6. As it results in the joint control of the target real estate complex by Oppidéa and the CDC, the</w:t>
        <w:br/>
        <w:t>operation constitutes a concentration within the meaning of Article L. 430-1 of the Commercial Code.</w:t>
        <w:br/>
        <w:t>7. The concerned companies together achieve a total turnover excluding taxes on a global scale of</w:t>
        <w:br/>
        <w:t>more than 150 million euros (Oppidéa: […] euros for the fiscal year ending December 31, 2014; CDC:</w:t>
        <w:br/>
        <w:t>[…] euros for the same fiscal year). Each of these companies has achieved a turnover in France</w:t>
        <w:br/>
        <w:t>exceeding 50 million euros (Oppidéa: […] euros for the same fiscal year; CDC: […] euros for the</w:t>
        <w:br/>
        <w:t>same fiscal year). Given these turnover figures, the operation does not fall under the jurisdiction of the</w:t>
        <w:br/>
        <w:t>European Union. However, the control thresholds mentioned in point I of Article L. 430-2 of the</w:t>
        <w:br/>
        <w:t>Commercial Code are exceeded. This operation is therefore subject to the provisions of Articles L.</w:t>
        <w:br/>
        <w:t>430-3 and following of the Commercial Code relating to economic concentration.</w:t>
        <w:br/>
        <w:t>II. Delimitation of relevant markets</w:t>
        <w:br/>
        <w:t>8. The operation results in an overlap of activities in the real estate services sector.</w:t>
        <w:br/>
        <w:t>1 See Article L. 518-2 of the Monetary and Financial Code.</w:t>
        <w:br/>
        <w:t>2 Commercial leases will generate turnover starting January 1, 2017, which will be between […] euros and […] euros for</w:t>
        <w:br/>
        <w:t>the year 2017.</w:t>
        <w:br/>
        <w:t>3 Articles 21, 22, and 23 of the bylaws of SAS Micoulaud Commerces.</w:t>
      </w:r>
    </w:p>
    <w:p>
      <w:r>
        <w:t>A. DELIMITATION OF PRODUCT AND SERVICE MARKETS</w:t>
        <w:br/>
        <w:t>9. National4 and European5 competition authorities have considered, while leaving the question open,</w:t>
        <w:br/>
        <w:t>different segmentations in the real estate services sector according to (i) the recipients of the services</w:t>
        <w:br/>
        <w:t>(individuals or businesses), (ii) the pricing method (free residential real estate and subsidized social or</w:t>
        <w:br/>
        <w:t>intermediate housing), (iii) the type of activity conducted on the premises (offices6, commercial</w:t>
        <w:br/>
        <w:t>premises, and other activity premises7), and (iv) the nature of the services or goods offered.</w:t>
        <w:br/>
        <w:t>10. For this last segmentation, the following services have been identified:</w:t>
        <w:br/>
        <w:t>(i) real estate development, which includes construction and sale activities of real estate properties;</w:t>
        <w:br/>
        <w:t>(ii) asset management for proprietary account;</w:t>
        <w:br/>
        <w:t>(iii) asset management for third parties (institutional investors, mainly banks and insurance companies)</w:t>
        <w:br/>
        <w:t>which covers advice and management of real estate portfolios (arbitration and valuation of assets),</w:t>
        <w:br/>
        <w:t>structuring of real estate investment operations, and management of real estate assets and specialized</w:t>
        <w:br/>
        <w:t>investment vehicles (notably civil real estate companies);</w:t>
        <w:br/>
        <w:t>(iv) property management which covers the activities of managing buildings on behalf of owners and can</w:t>
        <w:br/>
        <w:t>be segmented between rental management and co-ownership management;</w:t>
        <w:br/>
        <w:t>(v) real estate appraisal;</w:t>
        <w:br/>
        <w:t>(vi) real estate consulting;</w:t>
        <w:br/>
        <w:t>(vii) intermediation in real estate transactions for which intermediation in purchase/sale operations is</w:t>
        <w:br/>
        <w:t>distinguished from intermediation in rental operations.</w:t>
        <w:br/>
        <w:t>11. Regarding segmentation according to the type of activity conducted on the premises, the following</w:t>
        <w:br/>
        <w:t>sub-markets have been identified: (i) premises for office use; (ii) premises for commercial use; and (iii)</w:t>
        <w:br/>
        <w:t>other activity premises.</w:t>
        <w:br/>
        <w:t>4 See notably the decisions of the Competition Authority No. 16-DCC-50 of April 7, 2016, regarding the joint control of a real estate</w:t>
        <w:br/>
        <w:t>asset located in Toulouse by the company Oppidéa, the company Immo Retail, and the Caisse des Dépôts et Consignations; No. 16-DCC-02 of</w:t>
        <w:br/>
        <w:t>January 11, 2016, regarding the joint control of a real estate asset located in Marseille by the BPCE group and the Caisse des Dépôts et</w:t>
        <w:br/>
        <w:t>Consignations; No. 15-DCC-128 of September 21, 2015, regarding the joint control of a real estate asset located in Rennes by the BPCE</w:t>
        <w:br/>
        <w:t>group and the Caisse des Dépôts et Consignations; No. 09-DCC-16 of June 22, 2009, regarding the merger between the Caisse d’Épargne and</w:t>
        <w:br/>
        <w:t>Banque Populaire groups; No. 14-DCC-46 of April 1, 2014, regarding the joint control of an industrial real estate asset in Moselle by Norges</w:t>
        <w:br/>
        <w:t>Bank and Prologis, as well as decision C2008-79 / Letter from the Minister of Economy, Industry and Employment dated August 22, 2008,</w:t>
        <w:br/>
        <w:t>to the advice of the companies CDC and Eurosic, regarding a concentration in the real estate sector, BOCCRF No. 8 bis of October 23, 2008.</w:t>
        <w:br/>
        <w:t>5 See the decisions of the European Commission COMP/M.2110 Deutsche Bank / SEI / JV of September 25, 2000, IV/M.2825 Fortis AG SA /</w:t>
        <w:br/>
        <w:t>Bernheim-Comofi SA of July 9, 2002, COMP/M.3370 BNP Paribas/ARI of March 9, 2004.</w:t>
        <w:br/>
        <w:t>6 See the decisions of the Competition Authority No. 12-DCC-156 of November 12, 2012, regarding the joint control of a civil real estate</w:t>
        <w:br/>
        <w:t>company for the acquisition of an office building by CNP Assurance and Sogecap, and No. 12-DCC-157 of November 15, 2012, regarding the</w:t>
        <w:br/>
        <w:t>joint control of a civil real estate company for the ownership of an office building located in Lyon by the companies Prédica and the Caisse des</w:t>
        <w:br/>
        <w:t>Dépôts et Consignations.</w:t>
        <w:br/>
        <w:t>7 See notably the decision of the Competition Authority No. 13-DCC-146 of October 22, 2013, regarding the joint control of a civil real estate</w:t>
        <w:br/>
        <w:t>company for the ownership of a real estate asset for use as a nursing home by Foncière Malherbe Claudel (Crédit Agricole Group) and the</w:t>
        <w:br/>
        <w:t>Caisse des Dépôts et Consignations.</w:t>
        <w:br/>
        <w:t>8 See notably the decision of the Competition Authority No. 13-DCC-80 of July 3, 2013, regarding the joint control of the urban skills pole of</w:t>
        <w:br/>
        <w:t>Bordeaux by the company Midi Foncière 2 and the Caisse des Dépôts et Consignations.</w:t>
      </w:r>
    </w:p>
    <w:p>
      <w:r>
        <w:rPr>
          <w:b/>
        </w:rPr>
        <w:t>[Pages 4–5]</w:t>
      </w:r>
    </w:p>
    <w:p>
      <w:r>
        <w:t>12. In the present case, the parties are simultaneously active in the markets for the proprietary management of real estate assets for commercial use.</w:t>
      </w:r>
    </w:p>
    <w:p>
      <w:r>
        <w:t>13. Regarding segmentation according to the purpose of the premises, commercial premises located in shopping centers can be distinguished from commercial premises located at street level. In this case, only the segment of commercial premises located at street level is concerned by the operation.</w:t>
      </w:r>
    </w:p>
    <w:p>
      <w:r>
        <w:t>14. The question of the exact delineation of the real estate sector markets can, however, be left open insofar as it has no impact on the competitive analysis.</w:t>
      </w:r>
    </w:p>
    <w:p>
      <w:r>
        <w:t>B. GEOGRAPHICAL MARKETS</w:t>
      </w:r>
    </w:p>
    <w:p>
      <w:r>
        <w:t>15. Decision-making practice considers that the markets for real estate services intended for individuals are of a local dimension. While leaving the question open, decision-making practice has also conducted an analysis at the national level for operations carried out by groups of national scope following a strategy of establishment in shopping centers according to a logic of territorial networking.</w:t>
      </w:r>
    </w:p>
    <w:p>
      <w:r>
        <w:t>16. For regions outside Île-de-France, competition authorities have conducted their competitive analyses at the regional or sub-regional level. In its recent decisions, the Authority has examined the effects of operations at the level of urban areas.</w:t>
      </w:r>
    </w:p>
    <w:p>
      <w:r>
        <w:t>17. In the present case, the analysis will therefore be conducted at the levels of the former Midi-Pyrénées region, the Haute-Garonne department (31), and the city of Toulouse.</w:t>
      </w:r>
    </w:p>
    <w:p>
      <w:r>
        <w:t>18. The question of the exact delineation of the geographical markets in the real estate sector can, however, be left open insofar as it has no impact on the competitive analysis.</w:t>
      </w:r>
    </w:p>
    <w:p>
      <w:r>
        <w:t>III. Competitive Analysis</w:t>
      </w:r>
    </w:p>
    <w:p>
      <w:r>
        <w:t>19. At the regional (Midi-Pyrénées), departmental (Haute-Garonne (31)), and city (Toulouse) levels, the parties estimate that they hold a cumulative market share of less than [0-5]%, regardless of the segmentation retained. They remain subject to competition from numerous operators such as Carmila, Imfined, Midi 2i, Sorepar, Sodes, as well as Belin Immobilier.</w:t>
      </w:r>
    </w:p>
    <w:p>
      <w:r>
        <w:t>20. Consequently, the operation is not likely to harm competition in the various markets for the holding and proprietary management of real estate assets.</w:t>
      </w:r>
    </w:p>
    <w:p>
      <w:r>
        <w:t>DECIDES</w:t>
      </w:r>
    </w:p>
    <w:p>
      <w:r>
        <w:t>Sole Article: The operation notified under number 16-078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