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https://www.autoritedelaconcurrence.fr/fr/decision-de-controle-des-concentrations/relative-la-prise-de-controle-conjoint-dun-actif-7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17-DCC-142 of August 31, 2017  </w:t>
        <w:br/>
        <w:t xml:space="preserve">regarding the joint control acquisition of a real estate asset by  </w:t>
        <w:br/>
        <w:t xml:space="preserve">Amundi Immobilier and the Caisse des dépôts et consignations  </w:t>
        <w:br/>
        <w:t xml:space="preserve">The Competition Authority,  </w:t>
        <w:br/>
        <w:t xml:space="preserve">Having regard to the complete notification file sent to the mergers department on August 16, 2017,  </w:t>
        <w:br/>
        <w:t xml:space="preserve">concerning the joint control acquisition of a real estate asset by Amundi Immobilier and the Caisse  </w:t>
        <w:br/>
        <w:t xml:space="preserve">des dépôts et consignations, formalized by reciprocal promises of sale dated July 28, 2017;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by Amundi Immobilier and the  </w:t>
        <w:br/>
        <w:t xml:space="preserve">Caisse des dépôts et consignations of a real estate asset primarily used as office space located in  </w:t>
        <w:br/>
        <w:t xml:space="preserve">Saint-Ouen (93). It constitutes a concentration within the meaning of Article L. 430-1 of the Commercial  </w:t>
        <w:br/>
        <w:t xml:space="preserve">Code. Given the turnover achieved by the concerned companies, the thresholds provided for in Article 1,  </w:t>
        <w:br/>
        <w:t xml:space="preserve">paragraph 2 a) and b) of Council Regulation (EC) No. 139/2004 are met. Nevertheless, since each of the  </w:t>
        <w:br/>
        <w:t xml:space="preserve">concerned companies generates more than two-thirds of its turnover in the European Union in France,  </w:t>
        <w:br/>
        <w:t xml:space="preserve">the operation does not fall under the jurisdiction of the European Commission. On the other hand, the  </w:t>
        <w:br/>
        <w:t xml:space="preserve">control thresholds mentioned in I of Article L. 430-2 of the Commercial Code are exceeded. This operation  </w:t>
        <w:br/>
        <w:t xml:space="preserve">is therefore subject to the provisions of Articles L. 430-3 and following of the Commercial Code relating to  </w:t>
        <w:br/>
        <w:t xml:space="preserve">economic concentration.  </w:t>
        <w:br/>
        <w:t xml:space="preserve">2. The markets concerned by the operation are those of real estate services. These markets are  </w:t>
        <w:br/>
        <w:t xml:space="preserve">consistently defined by the decision-making practice of the Competition Authority.  </w:t>
        <w:br/>
        <w:t xml:space="preserve">3. Regardless of the segmentations retained, the estimated market shares of the parties are  </w:t>
        <w:br/>
        <w:t xml:space="preserve">below 10%.  </w:t>
        <w:br/>
        <w:t xml:space="preserve">4. Considering the elements of the file and in accordance with point 384 of the guidelines of  </w:t>
        <w:br/>
        <w:t xml:space="preserve">the Competition Authority regarding the control of concentrations, the operation is not likely to  </w:t>
        <w:br/>
        <w:t>harm competition.</w:t>
      </w:r>
    </w:p>
    <w:p>
      <w:r>
        <w:t xml:space="preserve">DECIDES  </w:t>
        <w:br/>
        <w:t xml:space="preserve">Sole Article: The operation notified under number 17-170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