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https://www.autoritedelaconcurrence.fr/fr/decision-de-controle-des-concentrations/relative-la-prise-de-controle-conjoint-dun-actif-immobilier</w:t>
      </w:r>
    </w:p>
    <w:p>
      <w:r>
        <w:t>Pages translated : 5</w:t>
      </w:r>
    </w:p>
    <w:p/>
    <w:p>
      <w:r>
        <w:rPr>
          <w:b/>
        </w:rPr>
        <w:t>[Pages 1–3]</w:t>
      </w:r>
    </w:p>
    <w:p>
      <w:r>
        <w:t>FRENCH REPUBLIC</w:t>
        <w:br/>
        <w:t>Decision No. 15-DCC-122 of September 28, 2015</w:t>
        <w:br/>
        <w:t>regarding the joint control of a real estate asset located in</w:t>
        <w:br/>
        <w:t>Condé-sur-l’Escaut by the Caisse des Dépôts et Consignations alongside Apreva Mutuelle</w:t>
        <w:br/>
        <w:t>The Competition Authority,</w:t>
        <w:br/>
        <w:t>Having regard to the notification file submitted in full to the concentrations service on September 2, 2015, regarding the joint control of a real estate asset located in Condé-sur-l’Escaut by the Caisse des Dépôts et Consignations alongside Apreva Mutuelle, formalized by a shareholders' agreement between Apreva Mutuelle and the Caisse des Dépôts et Consignations dated April 8, 2015, as well as by a synallagmatic promise of sale in future state of completion dated April 8, 2015;</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concerned companies and the operation</w:t>
        <w:br/>
        <w:t>1. Apreva Mutuelle (hereinafter "Apreva") is a mutual insurance company governed by the provisions of Book II of the Mutuality Code. It is active in the field of complementary health, provident insurance, savings, autonomy, and retirement.</w:t>
        <w:br/>
        <w:t>2. The Caisse des Dépôts et Consignations (hereinafter, "the CDC") is a public establishment with a special legal status, governed by Articles L. 518-2 and following of the Monetary and Financial Code, which fulfills missions of general interest in support of public policies conducted by the State and local authorities, and which carries out activities open to competition. These are grouped around four poles: (i) the environment, (ii) real estate through its subsidiaries Société Nationale Immobilière and Icade, (iii) investment and private equity, and (iv) services. Established by the law of April 28, 1816, the CDC is placed "under the supervision and guarantee of the legislative authority," this mode of governance being intended to ensure the autonomy of this institution which manages private funds requiring special protection1.</w:t>
        <w:br/>
        <w:t>3. The target of the operation is a building to be constructed for the purpose of a multidisciplinary health center located in Condé-sur-l’Escaut in the Nord-Pas-de-Calais, comprising nearly 2300 m² of SHON2. The operation is part of a territorial development project, for which a partnership agreement has been concluded between the CDC and Valenciennes Métropole. The historic center of the city of Condé-sur-l’Escaut has been selected as part of a Valenciennes Métropole program for the requalification of degraded old neighborhoods, supported by the National Agency for Urban Renewal.</w:t>
        <w:br/>
        <w:t>4. This building being acquired at the end of a sales contract in future state of completion (hereinafter "VEFA"), it will therefore not generate any revenue from third parties at the time of acquisition. However, concurrently with the VEFA, the building will be leased by the notifying parties under several leases in future state of completion ("BEFA"), signed for a duration of 12 years. The tenants will be medical practices, a laboratory, and Valenciennes Métropole (the latter subletting the offices to health prevention associations). The building is therefore an asset expected to generate revenue in the short term and with certainty.</w:t>
        <w:br/>
        <w:t>5. The notified operation, formalized by a synallagmatic promise of sale in future state of completion dated April 8, 2015, consists of the acquisition of this building by the civil real estate company ("SCI") Pôle Santé Corridor Minier, created for the needs of the operation and held 60% of the capital and voting rights by Apreva and 40% by the CDC. The CDC and Apreva will exercise joint control over the target asset, insofar as, in accordance with the statutes and the provisions of the shareholders' agreement of the SCI3, strategic decisions relating to its activity will be adopted unanimously by the partners.</w:t>
        <w:br/>
        <w:t>6. Insofar as it results in the joint control of the target by Apreva and the CDC, the operation constitutes a concentration within the meaning of Article L. 430-1 of the Commercial Code.</w:t>
        <w:br/>
        <w:t>7. The concerned companies together achieve a total worldwide turnover excluding tax of more than 150 million euros (Apreva: […] euros for the fiscal year ending December 31, 2014; CDC: […] euros for the same fiscal year). Each of these companies has achieved a turnover in France exceeding 50 million euros (Apreva: […] euros for the fiscal year ending December 31, 2014; CDC: […] euros for the same fiscal year). Given these turnover figures, the thresholds set out in Article 1, paragraph 2, a) and b) of Council Regulation (EC) No. 139/2004 of January 20, 2004 are met. Nevertheless, since each of the concerned companies generates more than two-thirds of its turnover within the Union in France,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1 See Article L. 518-2 of the Monetary and Financial Code.</w:t>
        <w:br/>
        <w:t>2 Surface Hors Œuvre Nette</w:t>
        <w:br/>
        <w:t>3 Article 19 of the statutes of the SCI</w:t>
      </w:r>
    </w:p>
    <w:p>
      <w:r>
        <w:t>II. Delimitation of Relevant Markets</w:t>
        <w:br/>
        <w:t>8. The operation results in an overlap of activities in the real estate services sector.</w:t>
        <w:br/>
        <w:t>A. DELIMITATION OF PRODUCT AND SERVICE MARKETS</w:t>
        <w:br/>
        <w:t>9. National4 and European5 competition authorities have considered, while leaving the question open, different segmentations in the real estate services sector according to (i) the recipients of the services (individuals or businesses), (ii) the pricing method (free residential real estate and subsidized social or intermediate housing), (iii) the type of activity conducted in the premises (offices6, commercial premises, and other activity premises7), and (iv) the nature of the services or goods offered.</w:t>
        <w:br/>
        <w:t>10. For this last segmentation, the following services have been identified:</w:t>
        <w:br/>
        <w:t>(i) real estate promotion which includes construction and sale activities of real estate;</w:t>
        <w:br/>
        <w:t>(ii) proprietary management of real estate assets;</w:t>
        <w:br/>
        <w:t>(iii) management of real estate assets on behalf of third parties (institutional investors, mainly banks and insurance companies) which covers advice and management of real estate portfolios (arbitration and valuation of assets), structuring of real estate investment operations, and management of real estate assets and specialized investment vehicles (notably civil real estate companies);</w:t>
        <w:br/>
        <w:t>(iv) property management which covers the activities of managing buildings on behalf of owners and can be segmented between rental management and co-ownership management;</w:t>
        <w:br/>
        <w:t>(v) real estate appraisal;</w:t>
        <w:br/>
        <w:t>(vi) real estate consulting;</w:t>
        <w:br/>
        <w:t>(vii) intermediation in real estate transactions for which intermediation in purchase/sale operations is distinguished from intermediation in leasing operations.</w:t>
        <w:br/>
        <w:t>4 See in particular the decision of the Competition Authority No. 09-DCC-16 of June 22, 2009 regarding the merger between the Caisse d’Épargne and Banque Populaire groups, decision No. 14-DCC-46 of April 1, 2014 regarding the joint control of an industrial real estate asset in Moselle by Norges Bank and Prologis, as well as decision C2008-79 / Letter from the Minister of Economy, Industry and Employment of August 22, 2008, to the councils of the companies CDC and Eurosic, regarding a concentration in the real estate sector, BOCCRF No. 8 bis of October 23, 2008.</w:t>
        <w:br/>
        <w:t>5 See the decisions of the European Commission COMP/M.2110 Deutsche Bank / SEI / JV of September 25, 2000, IV/M.2825 Fortis AG SA / Bernheim-Comofi SA of July 9, 2002 COMP/M.3370 BNP Paribas/ARI of March 9, 2004.</w:t>
        <w:br/>
        <w:t>6 See the decisions of the Competition Authority No. 12-DCC-156 of November 12, 2012 regarding the joint control of a civil real estate company for the acquisition of an office building by CNP Assurance and Sogecap and No. 12-DCC-157 of November 15, 2012 regarding the joint control of a civil real estate company for the holding of an office building located in Lyon by the companies Prédica and the Caisse des Dépôts et Consignations.</w:t>
        <w:br/>
        <w:t>7 See in particular the decision of the Competition Authority No. 13-DCC-146 of October 22, 2013 regarding the joint control of a civil real estate company for the holding of a real estate asset for use as a nursing home by Foncière Malherbe Claudel (Crédit Agricole Group) and the Caisse des Dépôts et Consignations.</w:t>
      </w:r>
    </w:p>
    <w:p>
      <w:r>
        <w:rPr>
          <w:b/>
        </w:rPr>
        <w:t>[Pages 4–5]</w:t>
      </w:r>
    </w:p>
    <w:p>
      <w:r>
        <w:t>11. In this case, the parties are simultaneously active in the markets for the proprietary management of real estate assets intended for lease to healthcare professionals.</w:t>
      </w:r>
    </w:p>
    <w:p>
      <w:r>
        <w:t>12. The notifying parties consider that the relevant market concerned is that of the proprietary management of real estate assets for office use, even though these will be leased to healthcare professionals. They indicate in this regard that the purpose of the building does not result from its particular characteristics, but from the will of the local authorities to create a health hub. They add that the building will not be subject to adaptations making it suitable for use as a clinic or hospital, that there will be no patient accommodation or surgical operating room, and that the building will be leased to medical practices in the same manner as offices.</w:t>
      </w:r>
    </w:p>
    <w:p>
      <w:r>
        <w:t>13. However, it is not necessary to resolve this question, as the conclusions of the analysis remain unchanged whether one considers a market for the proprietary management of real estate assets for other activities or for office use.</w:t>
      </w:r>
    </w:p>
    <w:p>
      <w:r>
        <w:t>B. GEOGRAPHICAL MARKETS</w:t>
      </w:r>
    </w:p>
    <w:p>
      <w:r>
        <w:t>14. The decision-making practice8 considers that the markets for real estate services aimed at individuals are of a local dimension. In contrast, operations related to markets for real estate services aimed at businesses have been analyzed at both the local and national levels9.</w:t>
      </w:r>
    </w:p>
    <w:p>
      <w:r>
        <w:t>15. Regarding the market for the proprietary holding and management of real estate assets, competition authorities have conducted their competitive analyses at the regional or sub-regional level. In this case, the analysis will therefore be conducted at the scale of the Nord-Pas-de-Calais region and at the scale of the Nord department.</w:t>
      </w:r>
    </w:p>
    <w:p>
      <w:r>
        <w:t>16. The question of the exact delimitation of the relevant markets may, however, be left open in this decision, as the conclusions of the competitive analysis remain unchanged regardless of the delimitations adopted.</w:t>
      </w:r>
    </w:p>
    <w:p>
      <w:r>
        <w:t>III. Competitive Analysis</w:t>
      </w:r>
    </w:p>
    <w:p>
      <w:r>
        <w:t>17. The parties have provided estimates of their positions in the market for the proprietary holding and management of real estate assets for office use. Regardless of the level considered, regional or departmental, the respective positions of the CDC and Apreva are below [0-5]% in this segment, including when aggregated.</w:t>
      </w:r>
    </w:p>
    <w:p>
      <w:r>
        <w:t>18. The parties have also presented estimates of their respective positions in the overall market for the proprietary holding and management of real estate assets for other activities (excluding offices) based on the areas of the assets they hold, recorded in m².</w:t>
      </w:r>
    </w:p>
    <w:p>
      <w:r>
        <w:t>8 See the decision of the Competition Authority No. 12-DCC-18 of February 13, 2012, regarding the exclusive control of the real estate rental company for industry and commerce by the company Icade.</w:t>
      </w:r>
    </w:p>
    <w:p>
      <w:r>
        <w:t>9 See in particular the decision 09-DCC-16 of June 22, 2009, of the Competition Authority regarding the merger between the Caisse d’Épargne and Banque Populaire groups and the letter from the Minister of Economy, Finance and Employment C2007-52, cited above.</w:t>
      </w:r>
    </w:p>
    <w:p>
      <w:r>
        <w:t>Regardless of the geographical level considered, regional or departmental, their respective positions are also below [0-5]%.</w:t>
      </w:r>
    </w:p>
    <w:p>
      <w:r>
        <w:t>19. In the event of an even more restricted market, limited to the proprietary holding and management of real estate assets for multidisciplinary health centers, the parties indicate that they were not present, prior to the operation, in this segment. According to their estimates, the market share of the new entity will be below [5-10]% at both the regional and departmental levels.</w:t>
      </w:r>
    </w:p>
    <w:p>
      <w:r>
        <w:t>20. Therefore, this operation is not likely to harm competition through horizontal effects in the local markets for the proprietary holding and management of real estate assets for other activities or for office use.</w:t>
      </w:r>
    </w:p>
    <w:p>
      <w:r>
        <w:t>21. Furthermore, the low market shares of the target and the parties in the markets concerned by the operation are not likely to create or strengthen a risk of coordination between the parent companies.</w:t>
      </w:r>
    </w:p>
    <w:p>
      <w:r>
        <w:t>DECIDES</w:t>
      </w:r>
    </w:p>
    <w:p>
      <w:r>
        <w:t>Sole Article: The operation notified under number 15-146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