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https://www.autoritedelaconcurrence.fr/fr/decision-de-controle-des-concentrations/relative-la-prise-de-controle-conjoint-dun-ensemble-0</w:t>
      </w:r>
    </w:p>
    <w:p>
      <w:r>
        <w:t>Pages translated : 5</w:t>
      </w:r>
    </w:p>
    <w:p/>
    <w:p>
      <w:r>
        <w:rPr>
          <w:b/>
        </w:rPr>
        <w:t>[Pages 1–3]</w:t>
      </w:r>
    </w:p>
    <w:p>
      <w:r>
        <w:t>FRENCH REPUBLIC</w:t>
        <w:br/>
        <w:t>Decision No. 15-DCC-56 of May 20, 2015</w:t>
        <w:br/>
        <w:t>regarding the joint control of a real estate complex in Ollioules by the BPCE group and the Caisse des Dépôts et Consignations</w:t>
        <w:br/>
        <w:t>The Competition Authority,</w:t>
        <w:br/>
        <w:t>Having regard to the notification file submitted in full to the concentrations service on April 10, 2015, regarding the joint control of a real estate complex in Ollioules by the BPCE group and the Caisse des Dépôts et Consignations formalized by a project for the sale in a future state of completion and by a shareholders' agreement dated March 25, 2015;</w:t>
        <w:br/>
        <w:t>Having regard to Book IV of the Commercial Code relating to the freedom of prices and competition, and in particular its Articles L. 430-1 to L. 430-7;</w:t>
        <w:br/>
        <w:t>Having regard to the supplementary elements transmitted by the parties during the investigation;</w:t>
        <w:br/>
        <w:t>Adopts the following decision:</w:t>
        <w:br/>
        <w:t>I. The concerned companies and the operation</w:t>
        <w:br/>
        <w:t>1. The Caisse des Dépôts et Consignations (hereinafter, "the CDC") is a public institution with a special legal status, governed by Articles L. 518-2 and following of the Monetary and Financial Code, which fulfills missions of general interest in support of public policies conducted by the State and local authorities, and which carries out activities open to competition. These activities are grouped around four poles: (i) the environment, (ii) real estate, through its subsidiaries Société Nationale Immobilière and Icade, (iii) investment and private equity, and (iv) services. Established by the law of April 28, 1816, the CDC is placed "under the supervision and guarantee of the legislative authority," this governance mode being intended to ensure the autonomy of this institution which manages private funds requiring special protection1.</w:t>
        <w:br/>
        <w:t>1 See Article L. 518-2 of the Monetary and Financial Code.</w:t>
      </w:r>
    </w:p>
    <w:p>
      <w:r>
        <w:t>2. The Banque Populaire Caisse d’Epargne group (hereinafter, "BPCE") is active in the banking and insurance sectors through the Banque Populaire and Caisses d’Épargne networks as well as Natixis. BPCE also holds interests in the real estate services sector, customer management services, and private equity operations dedicated to SMEs. In the real estate sector, BPCE notably owns the companies Midi Patrimoine and Caz Foncière 1, which are active in the exploitation, management, administration, and leasing of land and real estate properties they own.</w:t>
      </w:r>
    </w:p>
    <w:p>
      <w:r>
        <w:t>3. The target of the operation (hereinafter "the target") is a real estate complex with a total area of 6,785 m² located within the Technopole de la Mer in Ollioules (83). This real estate complex consists of premises for office, commercial, and restaurant use and 800 parking spaces exclusively for the tenants. The target is currently owned by the companies Silopark, Technoffice, and TPMA.</w:t>
      </w:r>
    </w:p>
    <w:p>
      <w:r>
        <w:t>4. The notified operation, formalized by a project for the sale in a future state of completion2 and by a shareholders' agreement dated March 25, 2015, consists of the acquisition of the target by the real estate civil company SCI CDC-Ecureil Ollioules (hereinafter "the SCI") created for the needs of the operation and owned by Midi Patrimoine, Caz Foncière 1, and the CDC, [confidential] holding […] % of the capital of the SCI. The BPCE group and the CDC will exercise joint control over the target asset, insofar as, in accordance with the draft statutes of the SCI3, the strategic decisions relating to its activity will be adopted unanimously by the partners.</w:t>
      </w:r>
    </w:p>
    <w:p>
      <w:r>
        <w:t>5. As it results in the joint control of the target by the BPCE group and the CDC, the notified operation constitutes a concentration within the meaning of Article L. 430-1 of the Commercial Code.</w:t>
      </w:r>
    </w:p>
    <w:p>
      <w:r>
        <w:t>6. The concerned companies together achieved a consolidated turnover excluding taxes worldwide of more than 150 million euros in 2013 (BPCE: […] euros for the fiscal year ending December 31, 2014; CDC: […] euros for the same fiscal year). Each of these companies achieved, in France, a turnover exceeding 50 million euros (BPCE: […] euros for the fiscal year ending December 31, 2014; CDC: […] euros for the same fiscal year). Given these turnover figures, the thresholds set out in Article 1, paragraph 2, a) and b) of Regulation (EC) No. 139/2004 are met. However, since BPCE and CDC generate more than two-thirds of their turnover in France,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br/>
        <w:t>2 In accordance with the guidelines of the Competition Authority regarding the control of concentrations (§23), a turnover is attributable to the target under commercial leases, concluded as of the date of this decision, allowing for the projection of expected rents over a certain term, in this case less than 1 year.</w:t>
        <w:br/>
        <w:t>3 Article 17.4 of the statutes.</w:t>
      </w:r>
    </w:p>
    <w:p>
      <w:r>
        <w:t>II. Delimitation of Relevant Markets</w:t>
        <w:br/>
        <w:t>A. THE RELEVANT SERVICE MARKETS</w:t>
        <w:br/>
        <w:t>7. National4 and European5 competition authorities have considered, while leaving the question open, different segmentations in the real estate services sector according to (i) the recipients of the services (individuals or businesses), (ii) the pricing method (free residential real estate and subsidized social or intermediate housing), (iii) the type of activity conducted on the premises (offices6, commercial premises, and other activity premises), and (iv) the nature of the services or goods offered.</w:t>
      </w:r>
    </w:p>
    <w:p>
      <w:r>
        <w:t>8. For this last axis of segmentation, the following services have been identified:</w:t>
        <w:br/>
        <w:t>(i) real estate development7 which includes construction and sale activities of real estate properties;</w:t>
        <w:br/>
        <w:t>(ii) proprietary management of real estate assets8;</w:t>
        <w:br/>
        <w:t>(iii) management of real estate assets on behalf of third parties (institutional investors, mainly banks and insurance companies) which covers advice and management of real estate portfolios (arbitration and valuation of assets), structuring of real estate investment operations, and management of real estate assets and specialized investment vehicles (notably civil real estate companies);</w:t>
        <w:br/>
        <w:t>(iv) administration of real estate which covers the activities of managing buildings on behalf of owners and can be segmented between rental management and co-ownership management;</w:t>
        <w:br/>
        <w:t>(v) real estate appraisal;</w:t>
        <w:br/>
        <w:t>(vi) real estate consulting;</w:t>
        <w:br/>
        <w:t>(vii) intermediation in real estate transactions for which intermediation in purchase/sale operations is distinguished from intermediation in rental operations.</w:t>
        <w:br/>
        <w:t>4 See in particular the decision of the Competition Authority No. 09-DCC-16 of June 22, 2009, regarding the merger between the Caisse d’Épargne and Banque Populaire groups, decision No. 14-DCC-46 of April 1, 2014, regarding the joint control of an industrial real estate asset in Moselle by Norges Bank and Prologis, as well as decision C2008-79 / Letter from the Minister of Economy, Industry and Employment of August 22, 2008, to the advisors of CDC and Eurosic, regarding a concentration in the real estate sector, BOCCRF No. 8 bis of October 23, 2008.</w:t>
        <w:br/>
        <w:t>5 See the decisions of the European Commission COMP/M.2110 Deutsche Bank / SEI / JV of September 25, 2000, IV/M.2825 Fortis AG SA / Bernheim-Comofi SA of July 9, 2002, COMP/M.3370 BNP Paribas/ARI of March 9, 2004.</w:t>
        <w:br/>
        <w:t>6 See the decisions of the Competition Authority No. 12-DCC-156 of November 12, 2012, regarding the joint control of a civil real estate company for the acquisition of an office building by CNP Assurance and Sogecap, and No. 12-DCC-157 of November 15, 2012, regarding the joint control of a civil real estate company for the ownership of an office building located in Lyon by the companies Prédica and the Caisse des Dépôts et Consignations.</w:t>
        <w:br/>
        <w:t>7 See decision C2007-166 / Letter from the Minister of Economy, Finance and Employment of December 20, 2007, to the advisors of the Nexity group, regarding a concentration in the real estate development sector.</w:t>
        <w:br/>
        <w:t>8 See the decision of the Competition Authority No. 14-DCC-183 of December 12, 2014, regarding the joint control of the companies Val Commerces and Winter by Eurocommercial Properties France and Agipimmo, and the letter from the Minister of Economy, Finance and Industry of May 10, 2007, to the advisors of Lehman Brothers, regarding a concentration in the real estate sector, BOCCRF No. 7 bis of September 14, 2007.</w:t>
      </w:r>
    </w:p>
    <w:p>
      <w:r>
        <w:rPr>
          <w:b/>
        </w:rPr>
        <w:t>[Pages 4–5]</w:t>
      </w:r>
    </w:p>
    <w:p>
      <w:r>
        <w:t>9. In the present case, the parties are simultaneously active in the markets for the proprietary management of real estate assets used for offices, commerce, and other activities.</w:t>
      </w:r>
    </w:p>
    <w:p>
      <w:r>
        <w:t>10. The question of the exact delineation of the real estate sector markets can, however, be left open insofar as the conclusions of the competitive analysis of the present operation remain unchanged regardless of the assumptions made.</w:t>
      </w:r>
    </w:p>
    <w:p>
      <w:r>
        <w:t>B. THE GEOGRAPHIC MARKETS</w:t>
      </w:r>
    </w:p>
    <w:p>
      <w:r>
        <w:t>11. The French and European competition authorities have considered that the markets related to the real estate sector are of local dimension, while leaving the question open. The analysis has, however, already been conducted at the national level for real estate services intended for businesses when the operations were carried out by groups of national scope following a territorial network strategy.</w:t>
      </w:r>
    </w:p>
    <w:p>
      <w:r>
        <w:t>12. For the Île-de-France region, the Minister of Economy noted that "the Paris region has particular properties of continuity of urban areas. Indeed, there is a vast, highly urbanized, and homogeneous area covering most of Île-de-France, served by a comprehensive transport network; residents are always able to arbitrate between different parts of the region. This substitutability leads to a convergence in prices. Therefore, the regional level is the most appropriate for competitive analysis." For other regions, the competition authorities have conducted their competitive analyses at the regional or sub-regional level.</w:t>
      </w:r>
    </w:p>
    <w:p>
      <w:r>
        <w:t>13. In the present case, the parties to the operation are simultaneously active in the proprietary management of real estate assets used for offices, commerce, and other activities in the Var department (83) in Provence-Alpes-Côte d'Azur.</w:t>
      </w:r>
    </w:p>
    <w:p>
      <w:r>
        <w:t>14. The question of the exact delineation of the geographic markets in the real estate sector can, however, be left open insofar as the conclusions of the competitive analysis of the present operation would remain unchanged regardless of the solutions adopted.</w:t>
      </w:r>
    </w:p>
    <w:p>
      <w:r>
        <w:t>III. Competitive Analysis</w:t>
      </w:r>
    </w:p>
    <w:p>
      <w:r>
        <w:t>15. At the regional level (Provence-Alpes-Côte d’Azur) and departmental level (Var (83)), the parties estimate that they hold a market share of less than [0-5]% regardless of the market segmentation retained.</w:t>
      </w:r>
    </w:p>
    <w:p>
      <w:r>
        <w:t>16. Consequently, the operation is not likely to harm competition in the various markets for the ownership and proprietary management of real estate assets.</w:t>
      </w:r>
    </w:p>
    <w:p>
      <w:r>
        <w:t>9 See decisions No. 14-DCC-183 of December 12, 2014, regarding the joint control of the companies Val Commerces and Winter by the companies Eurocommercial Properties France and Agipimm, and No. 14-DCC-58 of April 23, 2014, regarding the joint control of the extension of the Grand Cap shopping center by Amundi Immobilier and the Caisse des Dépôts et Consignations.</w:t>
      </w:r>
    </w:p>
    <w:p>
      <w:r>
        <w:t>10 See decision C2006-151 / Letter from the Minister of Economy, Finance and Industry of January 10, 2007, to the board of the Société Nationale Immobilière group, regarding a concentration in the sector of development and management of real estate parks primarily intended for residential use, BOCCRF No. 3 bis of March 23, 2007.</w:t>
      </w:r>
    </w:p>
    <w:p>
      <w:r>
        <w:t>DECIDES</w:t>
      </w:r>
    </w:p>
    <w:p>
      <w:r>
        <w:t>Sole Article: The operation notified under number 15-056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