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https://www.autoritedelaconcurrence.fr/fr/decision-de-controle-des-concentrations/relative-la-prise-de-controle-conjoint-dun-ensemble-1</w:t>
      </w:r>
    </w:p>
    <w:p>
      <w:r>
        <w:t>Pages translated : 5</w:t>
      </w:r>
    </w:p>
    <w:p/>
    <w:p>
      <w:r>
        <w:rPr>
          <w:b/>
        </w:rPr>
        <w:t>[Pages 1–3]</w:t>
      </w:r>
    </w:p>
    <w:p>
      <w:r>
        <w:t>FRENCH REPUBLIC</w:t>
        <w:br/>
        <w:t>Decision No. 16-DCC-124 of August 23, 2016</w:t>
        <w:br/>
        <w:t>regarding the joint control of a real estate complex by</w:t>
        <w:br/>
        <w:t>the Caisse des Dépôts et Consignations and the company La Foncière verte</w:t>
        <w:br/>
        <w:t>The Competition Authority,</w:t>
        <w:br/>
        <w:t>Having regard to the notification file submitted in full to the mergers service on July 22, 2016,</w:t>
        <w:br/>
        <w:t>regarding the joint control of a real estate complex to be built and located in La Motte-Servolex (73) by the Caisse des Dépôts et Consignations and the company La Foncière verte,</w:t>
        <w:br/>
        <w:t>formalized by the signed statutes of the acquisition vehicle, the company Jeromi de Technolac, dated July 1, 2016, by a bilateral promise of sale in the future state of completion dated July 6, 2016, and by a draft shareholders' agreement dated July 7, 2016;</w:t>
        <w:br/>
        <w:t>Having regard to Book IV of the Commercial Code relating to price freedom and competition, and in particular its Articles L. 430-1 to L. 430-7;</w:t>
        <w:br/>
        <w:t>Having regard to the additional elements provided by the parties during the investigation;</w:t>
        <w:br/>
        <w:t>Adopts the following decision:</w:t>
        <w:br/>
        <w:t>I. The concerned companies and the operation</w:t>
        <w:br/>
        <w:t>1. The Caisse des Dépôts et Consignations (hereinafter, "the CDC")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special protection.</w:t>
        <w:br/>
        <w:t>1 See Article L. 518-2 of the Monetary and Financial Code.</w:t>
      </w:r>
    </w:p>
    <w:p>
      <w:r>
        <w:t>2. La Foncière verte is a public limited company whose capital is 67.75% owned by La Foncière PH Green, which is itself 100% owned by PH Finance SAS, a holding company owned by the Petithuguenin family (hereinafter collectively, "the PH Finance group"). La Foncière verte's sole activity is the management of real estate assets in France leased to companies that are almost exclusively part of the PH Finance group.</w:t>
      </w:r>
    </w:p>
    <w:p>
      <w:r>
        <w:t>3. Jeromi de Technolac is a simplified joint-stock company created for the purposes of the operation and owned by the CDC (35% of the capital and voting rights), La Foncière verte (55% of the capital and voting rights), and the company 2.P (10% of the capital and voting rights). However, the company 2.P will not exercise any control over Jeromi de Technolac within the meaning of merger law. The statutes of Jeromi de Technolac indeed provide that strategic decisions relating to its activity will be adopted by a two-thirds majority of the capital and voting rights that only the CDC and La Foncière verte are able to hold together.</w:t>
      </w:r>
    </w:p>
    <w:p>
      <w:r>
        <w:t>4. The operation consists of the acquisition of an office building with a surface area of […] m2 to be built in the Chambéry agglomeration (73).</w:t>
      </w:r>
    </w:p>
    <w:p>
      <w:r>
        <w:t>5. A bilateral promise of lease for construction was previously signed between the Local Public Company of Savoie and the civil company Etincelle (hereinafter, "Etincelle"). At the same time, Etincelle, the lessor, and [confidential], the lessee, concluded a commercial lease in the future state of completion (hereinafter, "BEFA") for a duration of […] years. The amount of the annual rent is […] euros. The building to be constructed is therefore an asset expected to generate revenue in the short term and with certainty.</w:t>
      </w:r>
    </w:p>
    <w:p>
      <w:r>
        <w:t>6. At the same time, a bilateral promise of sale in the future state of completion was concluded between Etincelle, on the one hand, and La Foncière verte and 2.P, on the other hand. Under this promise, Jeromi de Technolac will replace La Foncière verte and 2.P, on the one hand, and Etincelle under the BEFA, on the other hand, upon the conclusion of the sale in the future state of completion.</w:t>
      </w:r>
    </w:p>
    <w:p>
      <w:r>
        <w:t>7. As it results in the joint control of a real estate complex by the CDC and La Foncière verte, the operation constitutes a concentration within the meaning of Article L. 430-1 of the Commercial Code.</w:t>
      </w:r>
    </w:p>
    <w:p>
      <w:r>
        <w:t>8. The concerned companies together achieve a total worldwide turnover excluding taxes of more than 150 million euros (CDC: […] euros for the fiscal year ending December 31, 2015; PH Finance: […] euros for the same fiscal year). Each of these companies has achieved a turnover in France exceeding 50 million euros (CDC: […] euros for the fiscal year ending December 31, 2015; PH Finance: […] euros for the same fiscal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br/>
        <w:t>9. The parties are active in the market for the management of real estate assets for office use on their own account.</w:t>
      </w:r>
    </w:p>
    <w:p>
      <w:r>
        <w:t>A. DELIMITATION OF SERVICE MARKETS</w:t>
        <w:br/>
        <w:t>10. National3 and European4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(offices5, commercial premises, and other activity premises6), and (iv) the nature of the services or goods offered.</w:t>
      </w:r>
    </w:p>
    <w:p>
      <w:r>
        <w:t>11. For this last segmentation, the following services have been identified:</w:t>
        <w:br/>
        <w:t>(i) real estate development, which includes construction and sale activities of real estate properties;</w:t>
        <w:br/>
        <w:t>(ii) real estate asset management for own account;</w:t>
        <w:br/>
        <w:t>(iii) real estate asset management for third parties (institutional investors, mainly banks and insurance companies) which covers advisory and portfolio management (arbitrage and valuation of assets), structuring of real estate investment operations, and management of real estate assets and specialized investment vehicles (notably civil real estate companies);</w:t>
        <w:br/>
        <w:t>(iv) property management which covers the activities of managing properties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leasing operations.</w:t>
        <w:br/>
        <w:t>3 See in particular the Authority's decisions No. 16-DCC-02 of January 11, 2016, regarding the joint control of a real estate asset located in Marseille by the BPCE group and the Caisse des Dépôts et Consignations; No. 15-DCC-128 of September 21, 2015, regarding the joint control of a real estate asset located in Rennes by the BPCE group and the Caisse des Dépôts et Consignations; No. 09-DCC-16 of June 22, 2009, regarding the merger between the Caisse d’Épargne and Banque Populaire groups; No. 14-DCC-46 of April 1, 2014, regarding the joint control of an industrial real estate asset in Moselle by Norges Bank and Prologis, as well as the letter from the Minister of Economy, Industry and Employment dated August 22, 2008, to the boards of the CDC and Eurosic, regarding a concentration in the real estate sector, BOCCRF No. 8 bis of October 23, 2008.</w:t>
      </w:r>
    </w:p>
    <w:p>
      <w:r>
        <w:t>4 See the decisions of the European Commission COMP/M.2110 Deutsche Bank / SEI / JV of September 25, 2000, IV/M.2825 Fortis AG SA / Bernheim-Comofi SA of July 9, 2002, and COMP/M.3370 BNP Paribas / ARI of March 9, 2004.</w:t>
      </w:r>
    </w:p>
    <w:p>
      <w:r>
        <w:t>5 See the Authority's decisions No. 12-DCC-156 of November 12, 2012, regarding the joint control of a civil real estate company for the acquisition of an office building by CNP Assurance and Sogecap, and No. 12-DCC-157 of November 15, 2012, regarding the joint control of a civil real estate company for the holding of an office building located in Lyon by Prédica and the Caisse des Dépôts et Consignations.</w:t>
      </w:r>
    </w:p>
    <w:p>
      <w:r>
        <w:t>6 See in particular the Authority's decision No. 13-DCC-146 of October 22, 2013, regarding the joint control of a civil real estate company for the holding of a real estate asset for use as a nursing home by Foncière Malherbe Claudel (Crédit Agricole Group) and the Caisse des Dépôts et Consignations.</w:t>
      </w:r>
    </w:p>
    <w:p>
      <w:r>
        <w:rPr>
          <w:b/>
        </w:rPr>
        <w:t>[Pages 4–5]</w:t>
      </w:r>
    </w:p>
    <w:p>
      <w:r>
        <w:t>12. Regarding segmentation according to the type of activity conducted on the premises, the following sub-markets have been identified: (i) premises for office use, (ii) premises for commercial use, and (iii) other activity premises.</w:t>
      </w:r>
    </w:p>
    <w:p>
      <w:r>
        <w:t>13. In the present case, the parties are active in the market for the management of real estate assets for office use on their own account.</w:t>
      </w:r>
    </w:p>
    <w:p>
      <w:r>
        <w:t>B. GEOGRAPHICAL MARKETS</w:t>
      </w:r>
    </w:p>
    <w:p>
      <w:r>
        <w:t>14. Decision-making practice considers that the market for the management of real estate assets for office use on their own account is regional or sub-regional, with the exception of the Ile-de-France region where the most appropriate level for competitive analysis is the regional level only.</w:t>
      </w:r>
    </w:p>
    <w:p>
      <w:r>
        <w:t>15. The question of the exact delineation of the relevant markets can, however, be left open in the present decision, the conclusions of the competitive analysis remaining unchanged regardless of the delineations retained.</w:t>
      </w:r>
    </w:p>
    <w:p>
      <w:r>
        <w:t>III. Competitive Analysis</w:t>
      </w:r>
    </w:p>
    <w:p>
      <w:r>
        <w:t>16. The operation involves overlaps in activities in the market for the management of real estate assets for office use on their own account at the regional, departmental, and local levels.</w:t>
      </w:r>
    </w:p>
    <w:p>
      <w:r>
        <w:t>17. In the Auvergne-Rhône-Alpes region, the parties estimated the size of the market for the management of real estate assets for office use in volume at approximately 8 million m², of which 6 to 7 million m² pertains to the former Rhône-Alpes region. The CDC manages […] m² there, of which […] m² for the former Rhône-Alpes region, representing a market share of less than [0-5]%. The target's market share is less than 1% with an area of […] m². The cumulative market share of the parties is therefore less than [0-5]% at the regional level.</w:t>
      </w:r>
    </w:p>
    <w:p>
      <w:r>
        <w:t>18. Both at the departmental level and within the only agglomeration of Chambéry where the target is located, the cumulative market shares of the parties are less than [5-10]% of the market in volume.</w:t>
      </w:r>
    </w:p>
    <w:p>
      <w:r>
        <w:t>19. The parties will also remain subject to competition from numerous operators such as AXA, Allianz, and Groupama at all geographical levels.</w:t>
      </w:r>
    </w:p>
    <w:p>
      <w:r>
        <w:t>20. Consequently, the present operation is not likely to harm competition through horizontal effects in the market for the management of office assets on their own account.</w:t>
      </w:r>
    </w:p>
    <w:p>
      <w:r>
        <w:t>DECIDES</w:t>
      </w:r>
    </w:p>
    <w:p>
      <w:r>
        <w:t>Sole Article: The operation notified under number 16-141 is authorized.</w:t>
      </w:r>
    </w:p>
    <w:p>
      <w: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