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https://www.autoritedelaconcurrence.fr/fr/decision-de-controle-des-concentrations/relative-la-prise-de-controle-conjoint-dun-ensemble-11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23-DCC-110 of June 2, 2023  </w:t>
        <w:br/>
        <w:t xml:space="preserve">regarding the joint control acquisition of a real estate complex in  </w:t>
        <w:br/>
        <w:t xml:space="preserve">the future state of completion located in Meyreuil by the Caisse des dépôts et  </w:t>
        <w:br/>
        <w:t xml:space="preserve">consignations and Artea  </w:t>
        <w:br/>
        <w:t xml:space="preserve">The Competition Authority,  </w:t>
        <w:br/>
        <w:t xml:space="preserve">Having regard to the complete notification file sent to the mergers department on May 2, 2023, concerning  </w:t>
        <w:br/>
        <w:t xml:space="preserve">the joint control acquisition of a real estate complex in the future state of completion located in  </w:t>
        <w:br/>
        <w:t xml:space="preserve">Meyreuil by the Caisse des dépôts et consignations and Artea, formalized by a letter of intent  </w:t>
        <w:br/>
        <w:t xml:space="preserve">dated April 4, 2023;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acquisition of control by the Caisse des dépôts et consignations  </w:t>
        <w:br/>
        <w:t xml:space="preserve">alongside the company Artea of a real estate complex in the future state of completion in  </w:t>
        <w:br/>
        <w:t xml:space="preserve">Meyreuil (13). It constitutes a concentration operation within the meaning of Article L. 430-1 of the  </w:t>
        <w:br/>
        <w:t xml:space="preserve">Commercial Code. Given the turnover achieved by the concerned companies, the operation does not fall  </w:t>
        <w:br/>
        <w:t xml:space="preserve">under the jurisdiction of the European Union. On the other hand, the control thresholds mentioned in I of  </w:t>
        <w:br/>
        <w:t xml:space="preserve">Article L. 430-2 of the Commercial Code are exceeded. This operation is therefore subject to the  </w:t>
        <w:br/>
        <w:t xml:space="preserve">provisions of Articles L. 430-3 and following of the Commercial Code relating to economic concentration.  </w:t>
        <w:br/>
        <w:t xml:space="preserve">2. In view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23-069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