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23-DCC-209 of October 10, 2023  </w:t>
        <w:br/>
        <w:t xml:space="preserve">regarding the joint control acquisition of a real estate complex in the future state of completion located in Champs-sur-Marne by the Caisse des Dépôts et Consignations and the Crédit Agricole group  </w:t>
        <w:br/>
        <w:t xml:space="preserve">The Competition Authority,  </w:t>
        <w:br/>
        <w:t xml:space="preserve">Having regard to the complete notification file sent to the mergers department on September 21, 2023, concerning the joint control acquisition of a real estate complex in the future state of completion located in Champs-sur-Marne by the Caisse des Dépôts et Consignations (hereinafter "CDC") and the company Val Brie Picardie Investissement, which belongs to the Crédit Agricole group, formalized by a letter of intent dated June 20, 2023;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acquisition of control by the CDC and the Crédit Agricole group of a mixed-use real estate complex in the future state of completion in Champs-sur-Marne (77).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23-230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