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https://www.autoritedelaconcurrence.fr/fr/decision-de-controle-des-concentrations/relative-la-prise-de-controle-conjoint-dun-ensemble-19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25-DCC-128 of June 3, 2025</w:t>
        <w:br/>
        <w:t>regarding the joint control acquisition of a real estate complex in</w:t>
        <w:br/>
        <w:t>the future state of completion located in Meyreuil by the Caisse des dépôts et</w:t>
        <w:br/>
        <w:t>consignations and Artea</w:t>
        <w:br/>
        <w:t>The Competition Authority,</w:t>
        <w:br/>
        <w:t>Having regard to the complete notification file sent to the mergers department on April 28, 2025,</w:t>
        <w:br/>
        <w:t>regarding the joint control acquisition of a real estate complex in the future state of completion,</w:t>
        <w:br/>
        <w:t>located in Meyreuil, by the Caisse des dépôts et consignations and the company Artea, formalized by</w:t>
        <w:br/>
        <w:t>a letter of intent dated April 1, 2025;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joint control acquisition by the Caisse des dépôts et</w:t>
        <w:br/>
        <w:t>consignations and the company Artea of a real estate complex in the future state of completion in</w:t>
        <w:br/>
        <w:t>Meyreuil (13). This operation constitutes a concentration within the meaning of Article L. 430-1 of the Commercial Code. Given the turnover achieved by the companies concerned,</w:t>
        <w:br/>
        <w:t>the operation does not fall under the jurisdiction of the European Union. On the other hand, the control thresholds mentioned in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25-116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