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https://www.autoritedelaconcurrence.fr/fr/decision-de-controle-des-concentrations/relative-la-prise-de-controle-conjoint-dun-ensemble-3</w:t>
      </w:r>
    </w:p>
    <w:p>
      <w:r>
        <w:t>Pages translated : 5</w:t>
      </w:r>
    </w:p>
    <w:p/>
    <w:p>
      <w:r>
        <w:rPr>
          <w:b/>
        </w:rPr>
        <w:t>[Pages 1–3]</w:t>
      </w:r>
    </w:p>
    <w:p>
      <w:r>
        <w:t xml:space="preserve">FRENCH REPUBLIC  </w:t>
        <w:br/>
        <w:t xml:space="preserve">Decision No. 17-DCC-101 of June 30, 2017  </w:t>
        <w:br/>
        <w:t xml:space="preserve">regarding the joint control of a real estate complex by  </w:t>
        <w:br/>
        <w:t>the Caisse des Dépôts et Consignations and Bâtiment Travaux Publics Sud France</w:t>
      </w:r>
    </w:p>
    <w:p>
      <w:r>
        <w:t xml:space="preserve">The Competition Authority,  </w:t>
        <w:br/>
        <w:t xml:space="preserve">Having regard to the notification file submitted in full to the concentrations service on May 24, 2017, regarding the joint control of a real estate complex by the Caisse des Dépôts et Consignations and Bâtiment Travaux Publics Sud France, formalized by a draft of statutes, a draft shareholders' agreement, and a declaration of intent from the Caisse des Dépôts et Consignations dated November 21, 2016;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Bâtiment Travaux Publics Sud France is a limited liability company (SARL) at the head of the group of the same name (hereinafter "BTPSF"), currently controlled by Mr. Antoine Nunes. BTPSF groups together a number of companies active in the construction and public works sector, and more specifically in the fields of project study and management, major and secondary works, as well as in the real estate development sector.  </w:t>
        <w:br/>
        <w:t xml:space="preserve">2. The Caisse des Dépôts et Consignations (hereinafter "CDC") is a public establishment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mode of governance being intended to ensure the autonomy of this institution which manages private funds requiring special protection.  </w:t>
        <w:br/>
        <w:t xml:space="preserve">3. The target of the operation is a real estate complex for tourism residence use, located [confidential] in Mimizan (40) comprising 37 housing units with common areas, 37 parking spaces, a gym, and an outdoor pool (hereinafter "the real estate complex").  </w:t>
        <w:br/>
        <w:t xml:space="preserve">4. This real estate complex, currently nearing completion, has been the subject of a commercial lease contract in the future state of completion concluded with [confidential], which took effect on [confidential]. The real estate complex thus constitutes an asset expected to generate revenue in the short term and with certainty.  </w:t>
        <w:br/>
        <w:t xml:space="preserve">5. The notified operation consists of the acquisition of the real estate complex by a civil real estate company, created for the needs of the operation. This company is owned 51% of the capital and voting rights by BTPSF and 49% by the CDC. The CDC and BTPSF will exercise joint control over the target asset, insofar as, in accordance with the statutes and the provisions of the shareholders' agreement of the SCI, strategic decisions relating to its activity will be adopted unanimously.  </w:t>
        <w:br/>
        <w:t xml:space="preserve">6. Insofar as it results in the joint control of the real estate complex by BTPSF and the CDC, the operation constitutes a concentration within the meaning of Article L. 430-1 of the Commercial Code.  </w:t>
        <w:br/>
        <w:t>7. The concerned companies together achieve a total worldwide turnover excluding taxes of more than 150 million euros (CDC: […] euros for the fiscal year ending December 31, 2015; BTPSF: […] euros for the same fiscal year). They achieve a turnover in France exceeding 50 million euros (CDC: […] euros for the fiscal year ending December 31, 2015; BTPSF: […] euros for the same fiscal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SERVICE MARKETS  </w:t>
        <w:br/>
        <w:t xml:space="preserve">8. The operation results in an overlap of activities in the real estate services sector.  </w:t>
        <w:br/>
        <w:t xml:space="preserve">9. The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premises5 (offices6, commercial premises, and other activity premises), and (iv) the nature of the services or goods offered.  </w:t>
        <w:br/>
        <w:t xml:space="preserve">10. For this last segmentation, the following services have been identified:  </w:t>
        <w:br/>
        <w:t xml:space="preserve">(i) real estate development, which includes construction and sale activities of real estate properties;  </w:t>
        <w:br/>
        <w:t xml:space="preserve">(ii) management of real estate assets for own account;  </w:t>
        <w:br/>
        <w:t xml:space="preserve">(iii) management of real estate assets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  </w:t>
        <w:br/>
        <w:t xml:space="preserve">(iv) property management, which covers the activities of managing properties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rental operations.  </w:t>
        <w:br/>
        <w:t xml:space="preserve">11. In this case, the parties are simultaneously active in the markets for the management for own account of real estate assets intended for businesses and concerning premises for other activities.  </w:t>
        <w:br/>
        <w:t>12. However, the question of the exact delimitation of the markets in the real estate sector can be left open insofar as the competitive analysis remains unchanged regardless of the delimitation adopted.</w:t>
      </w:r>
    </w:p>
    <w:p>
      <w:r>
        <w:rPr>
          <w:b/>
        </w:rPr>
        <w:t>[Pages 4–5]</w:t>
      </w:r>
    </w:p>
    <w:p>
      <w:r>
        <w:t xml:space="preserve">B. GEOGRAPHIC MARKETS  </w:t>
        <w:br/>
        <w:t xml:space="preserve">13. The decisional practice7 considers that markets related to the real estate sector are of local dimension, while leaving the question open. However, the analysis has already been conducted at the national level for real estate services intended for businesses when operations were carried out by groups with a national scope following a strategy of establishment corresponding to a logic of territorial coverage.  </w:t>
        <w:br/>
        <w:t xml:space="preserve">14. For the Île-de-France region, the Minister of the Economy noted that "the Paris region has particular properties of continuity of urban areas. Indeed, there is a vast, highly urbanized and homogeneous area covering most of Île-de-France, served by a comprehensive transport network; the inhabitants are always able to arbitrate between different parts of the region. This substitutability leads to a convergence at the price level. Therefore, the regional level is the most appropriate for competitive analysis"8. For other regions, the competition authorities have conducted their competitive analyses at the regional or sub-regional level. Thus, in its recent decisions, the Authority examined the effects of operations at the level of urban areas9.  </w:t>
        <w:br/>
        <w:t xml:space="preserve">15. In this case, the activities of the target overlap with those of the CDC in the Nouvelle Aquitaine region. The analysis will therefore be conducted at the level of the Nouvelle Aquitaine region, at the level of the Landes department (40), and at the level of the community of municipalities of Mimizan.  </w:t>
        <w:br/>
        <w:t xml:space="preserve">III. Competitive Analysis  </w:t>
        <w:br/>
        <w:t xml:space="preserve">16. Regardless of the geographic dimension retained, the combined market shares of the real estate complex and the CDC remain below [0-5]%. BTPSF, for its part, is not active in the markets for the management of real estate assets for its own account.  </w:t>
        <w:br/>
        <w:t xml:space="preserve">17. Consequently, the operation is not likely to harm competition in the markets for the management of real estate assets for its own account.  </w:t>
        <w:br/>
        <w:t xml:space="preserve">7 See in particular decisions n° 09-DCC-16 and M. 2825 mentioned above and the letter from the Minister of the Economy, Finance and Industry dated November 25, 2005, to the boards of the company Foncière des Régions regarding a concentration in the real estate sector, published in BOCCRF n° 6 bis of June 21, 2006.  </w:t>
        <w:br/>
        <w:t xml:space="preserve">8 See the letter from the Minister of the Economy, Finance and Industry dated January 10, 2007, to the board of the Société Nationale Immobilière group, regarding a concentration in the sector of development and management of real estate parks primarily intended for residential use, published in BOCCRF n° 3 bis of March 23, 2007.  </w:t>
        <w:br/>
        <w:t>9 See the decisions of the Competition Authority n° 14-DCC-36 of March 18, 2014, regarding the exclusive control by the Carrefour group of a portfolio of 57 shopping galleries from the company Klépierre, n° 14-DCC-164 of November 13, 2014, regarding the exclusive control by the Carrefour group of a portfolio of six shopping galleries from the company Unibail-Rodamco, decision n° 14-DCC-166 of November 13, 2014, regarding the exclusive control by Klépierre SA of Corio NV, and decision n° 14-DCC-193 of December 24, 2014, regarding the joint control of a real estate complex in Nice by the CDC and the company Immo Retail.</w:t>
      </w:r>
    </w:p>
    <w:p>
      <w:r>
        <w:t xml:space="preserve">DECIDES  </w:t>
        <w:br/>
        <w:t xml:space="preserve">Single Article: The operation notified under number 17-110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