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https://www.autoritedelaconcurrence.fr/fr/decision-de-controle-des-concentrations/relative-la-prise-de-controle-conjoint-dun-ensemble-4</w:t>
      </w:r>
    </w:p>
    <w:p>
      <w:r>
        <w:t>Pages translated : 5</w:t>
      </w:r>
    </w:p>
    <w:p/>
    <w:p>
      <w:r>
        <w:rPr>
          <w:b/>
        </w:rPr>
        <w:t>[Pages 1–3]</w:t>
      </w:r>
    </w:p>
    <w:p>
      <w:r>
        <w:t>FRENCH REPUBLIC</w:t>
        <w:br/>
        <w:t>Decision No. 17-DCC-105 of July 12, 2017</w:t>
        <w:br/>
        <w:t>regarding the joint control of a real estate complex by</w:t>
        <w:br/>
        <w:t>Fontanel Management and the Caisse des Dépôts et Consignations</w:t>
        <w:br/>
        <w:t>The Competition Authority,</w:t>
        <w:br/>
        <w:t>Having regard to the notification file submitted in full to the merger service on June 14, 2017,</w:t>
        <w:br/>
        <w:t>regarding the joint control of a real estate complex by Fontanel Management and the</w:t>
        <w:br/>
        <w:t>Caisse des Dépôts et Consignations, formalized by a commercial lease in a future state</w:t>
        <w:br/>
        <w:t>of completion dated March 29, 2017, a shareholders' agreement, and articles of incorporation dated</w:t>
        <w:br/>
        <w:t>May 30, 2017;</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br/>
        <w:t>I. The concerned companies and the operation</w:t>
        <w:br/>
        <w:t>1. Fontanel Management is the parent company of the Fontanel group, which consists of several</w:t>
        <w:br/>
        <w:t>companies including Fontanel Groupe and has as its main activity construction and real estate</w:t>
        <w:br/>
        <w:t>development.</w:t>
        <w:br/>
        <w:t>2. The Caisse des Dépôts et Consignations (hereinafter, "the CDC") is a public institution with</w:t>
        <w:br/>
        <w:t>special legal status, governed by Articles L. 518-2 and following of the Monetary and Financial Code, which</w:t>
        <w:br/>
        <w:t>fulfills missions of general interest, supporting public policies conducted by the State and</w:t>
        <w:br/>
        <w:t>local authorities, and which engages in activities open to competition. These are</w:t>
        <w:br/>
        <w:t>grouped around four poles: (i) the environment, (ii) real estate, through</w:t>
        <w:br/>
        <w:t>its subsidiaries Société Nationale Immobilière and Icade, (iii) investment and private equity, and (iv) services. Established by the law of April 28, 1816, the CDC is placed "under</w:t>
        <w:br/>
        <w:t>the supervision and guarantee of the legislative authority," this governance mode being intended</w:t>
        <w:br/>
        <w:t>to ensure the autonomy of this institution which manages private funds requiring special protection.</w:t>
        <w:br/>
        <w:t>3. Immo Rosa Parks is a simplified joint-stock company that was created on May 30, 2017, for the</w:t>
        <w:br/>
        <w:t>purposes of the operation. It is owned by Fontanel Management ([…]% of the capital and voting rights) and the CDC ([…]% of the capital and voting rights). The statutes of Immo Rosa</w:t>
        <w:br/>
        <w:t>Parks, which provide for the acquisition of the real estate complex mentioned below, stipulate that strategic decisions related to its activity are adopted unanimously (Article 18 of the draft</w:t>
        <w:br/>
        <w:t>statutes).</w:t>
        <w:br/>
        <w:t>4. The operation consists of the acquisition by Immo Rosa Parks of a real estate complex with a</w:t>
        <w:br/>
        <w:t>surface area of 4,067 m2 to be built in the Lyon metropolitan area (hereinafter the "real estate</w:t>
        <w:br/>
        <w:t>complex").</w:t>
        <w:br/>
        <w:t>5. The company Chuel la Duchere îlot 34 entered into a commercial lease in a future state of completion for a duration of 10 years with the company [confidential] on March 29, 2017, regarding the real estate complex. The amount of the annual rent is […] euros. The real estate complex is therefore an asset expected to generate a certain turnover in the short term.</w:t>
        <w:br/>
        <w:t>6. As it results in the joint control of the real estate complex by Fontanel Management and the CDC, the operation constitutes a concentration within the meaning of Article L. 430-1 of the Commercial Code.</w:t>
        <w:br/>
        <w:t>7. The concerned companies together achieve a total turnover excluding taxes worldwide of more than 150 million euros (Fontanel Management: […] euros for the fiscal year ending December 31, 2015; CDC: […] euros for the same fiscal year). Each of these companies has achieved in France a turnover exceeding 50 million euros (Fontanel Management: […] euros for the fiscal year ending December 31, 2015; CDC: […] euros for the same fiscal year). Nevertheless, each of these companies generates more than two-thirds of its European turnover in France (Fontanel Management: […] euros for the fiscal year ending December 31, 2015; CDC: […] euros for the same fiscal year),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8. The parties are active in the markets for the proprietary management of real estate assets for office use and other activities.</w:t>
      </w:r>
    </w:p>
    <w:p>
      <w:r>
        <w:t>A. DELIMITATION OF SERVICE MARKETS</w:t>
        <w:br/>
        <w:t>9. National and European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 commercial premises, and other activity premises), and (iv) the nature of the services or goods offered.</w:t>
        <w:br/>
        <w:t>10. For this last segmentation, the following services have been identified:</w:t>
        <w:br/>
        <w:t>(i) real estate development, which includes construction and sale activities of real estate properties;</w:t>
        <w:br/>
        <w:t>(ii) proprietary management of real estate assets;</w:t>
        <w:br/>
        <w:t>(iii) management of real estate assets on behalf of third parties (institutional investors, mainly banks and insurance companies) which covers advisory and portfolio management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br/>
        <w:t>11. In this case, the parties are active in the market for the proprietary management of real estate assets for office use and in the market for the proprietary management of real estate assets for other activities.</w:t>
      </w:r>
    </w:p>
    <w:p>
      <w:r>
        <w:rPr>
          <w:b/>
        </w:rPr>
        <w:t>[Pages 4–5]</w:t>
      </w:r>
    </w:p>
    <w:p>
      <w:r>
        <w:t xml:space="preserve">B. GEOGRAPHIC MARKETS  </w:t>
        <w:br/>
        <w:t xml:space="preserve">12. Decision-making practice considers that the markets for the proprietary management of real estate assets for office use and other activities are regional or sub-regional, except for the Île-de-France region, where the most appropriate level for competitive analysis is the sole regional level.  </w:t>
        <w:br/>
        <w:t xml:space="preserve">13. In this case, the analysis will be conducted on the Auvergne region, the Rhône department, and the Lyon metropolitan area.  </w:t>
        <w:br/>
        <w:t xml:space="preserve">III. Competitive Analysis  </w:t>
        <w:br/>
        <w:t xml:space="preserve">14. The operation involves overlaps of activities in the markets for the proprietary management of real estate assets for office use and other activities at the regional, departmental, and local levels.  </w:t>
        <w:br/>
        <w:t xml:space="preserve">On the market for the proprietary management of real estate assets for office use  </w:t>
        <w:br/>
        <w:t xml:space="preserve">15. In the Auvergne-Rhône-Alpes region, the parties estimated the size of the market for the proprietary management of real estate assets for office use in volume to be approximately […] m2. Fontanel Management and the CDC manage approximately […] m2 there, which represents a market share of less than [5-10]%.  </w:t>
        <w:br/>
        <w:t xml:space="preserve">16. Both at the departmental level and at the level of the Lyon metropolitan area where the target is located, the cumulative market shares of the parties are less than [0-5]% of the market in volume.  </w:t>
        <w:br/>
        <w:t xml:space="preserve">On the market for the proprietary management of real estate assets for other activities  </w:t>
        <w:br/>
        <w:t xml:space="preserve">17. In the Auvergne-Rhône-Alpes region, the parties manage […] m2 in the market for the proprietary management of real estate assets for other activities. With […] m2 of premises, the acquisition of the target does not significantly change the market share of the parties to the operation. They estimate their market share after the operation to be less than [0-5]%.  </w:t>
        <w:br/>
        <w:t xml:space="preserve">18. Both at the departmental level and at the level of the Lyon metropolitan area where the target is located, the cumulative market shares of the parties are less than [0-5]% of the market in volume.  </w:t>
        <w:br/>
        <w:t xml:space="preserve">19. Consequently, the present operation is not likely to harm competition through horizontal effects in the market for the proprietary management of assets for office use and other offices.  </w:t>
        <w:br/>
        <w:t xml:space="preserve">6 Decisions of the Authority n° 12-DCC-156 and n° 12-DCC-157 cited above.  </w:t>
        <w:br/>
        <w:t xml:space="preserve">7 Decision C2006-151 of the Minister of Economy SNI / EFIDIS of January 10, 2007.  </w:t>
        <w:br/>
        <w:t>4</w:t>
      </w:r>
    </w:p>
    <w:p>
      <w:r>
        <w:t xml:space="preserve">DECIDES  </w:t>
        <w:br/>
        <w:t xml:space="preserve">Sole Article: The operation notified under number 17-107 is authorized.  </w:t>
        <w:br/>
        <w:t xml:space="preserve">The Chairwoman,  </w:t>
        <w:br/>
        <w:t xml:space="preserve">Isabelle de Silva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