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21-DCC-126 of July 29, 2021  </w:t>
        <w:br/>
        <w:t xml:space="preserve">regarding the joint control acquisition of a real estate complex located  </w:t>
        <w:br/>
        <w:t xml:space="preserve">in Louviers by the Caisse des dépôts et consignations and the company  </w:t>
        <w:br/>
        <w:t xml:space="preserve">Normandie Seine Foncière  </w:t>
        <w:br/>
        <w:t xml:space="preserve">The Competition Authority,  </w:t>
        <w:br/>
        <w:t xml:space="preserve">Having regard to the complete notification file sent to the mergers department on July 7, 2021  </w:t>
        <w:br/>
        <w:t xml:space="preserve">regarding the joint control acquisition of a real estate complex located in Louviers by the Caisse  </w:t>
        <w:br/>
        <w:t xml:space="preserve">des dépôts et consignations and the company Normandie Seine Foncière, formalized by a letter  </w:t>
        <w:br/>
        <w:t xml:space="preserve">of intent dated June 18,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a real estate complex for  </w:t>
        <w:br/>
        <w:t xml:space="preserve">senior service residences of 7023.99 m² located in Louviers by the Caisse des dépôts et  </w:t>
        <w:br/>
        <w:t xml:space="preserve">consignations and the company Normandie Seine Foncière, a subsidiary of the Crédit Agricole group.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21-136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