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https://www.autoritedelaconcurrence.fr/fr/decision-de-controle-des-concentrations/relative-la-prise-de-controle-conjoint-dun-ensemble-dactifs</w:t>
      </w:r>
    </w:p>
    <w:p>
      <w:r>
        <w:t>Pages translated : 9</w:t>
      </w:r>
    </w:p>
    <w:p/>
    <w:p>
      <w:r>
        <w:rPr>
          <w:b/>
        </w:rPr>
        <w:t>[Pages 1–3]</w:t>
      </w:r>
    </w:p>
    <w:p>
      <w:r>
        <w:t>FRENCH REPUBLIC</w:t>
        <w:br/>
        <w:t>Decision No. 21-DCC-103 of June 23, 2021</w:t>
        <w:br/>
        <w:t>regarding the joint control of a set of assets of the Agatha group by the companies Altesse and Thom</w:t>
        <w:br/>
        <w:t>The Competition Authority,</w:t>
        <w:br/>
        <w:t>Having regard to the notification file submitted to the merger service on February 1, 2021, declared complete on May 25, 2021, regarding the joint control of a set of assets of the Agatha group by the companies Altesse and Thom, formalized by the takeover offers dated January 18, 2021, and February 5, 2021, and the judgments of the Commercial Court of Bobigny dated February 26, 2021;</w:t>
        <w:br/>
        <w:t>Having regard to Book IV of the Commercial Code relating to price freedom and competition, and in particular its Articles L. 430-1 to L. 430-7;</w:t>
        <w:br/>
        <w:t>Having regard to the supplementary elements transmitted by the notifying parties during the investigation;</w:t>
        <w:br/>
        <w:t>Adopts the following decision:</w:t>
      </w:r>
    </w:p>
    <w:p>
      <w:r>
        <w:t>I. THE COMPANIES CONCERNED</w:t>
        <w:br/>
        <w:t>1. Altesse is exclusively controlled by the company Renaissance Luxury Group (hereinafter, "RLG"), which is ultimately controlled by Mr. Éric Lefranc, who does not hold any other controlling interests. It designs, manufactures, and distributes jewelry in silver, gold-plated, gilded, and silvered forms. In France, it markets its products under its own brands, "Les Georgettes" and "Saunier." The Les Georgettes brand offers only "costume" jewelry, and the Saunier brand offers only non-precious jewelry (silver and gold-plated jewelry). RLG also owns the companies Ateliers de Vitré and SMV. The company Ateliers de Vitré, which owns the Texier brand, manufactures and distributes leather goods. The company SMV manufactures silver and gold-plated jewelry, generally associated with semi-precious or synthetic stones.</w:t>
        <w:br/>
        <w:t>2. Thom is a subsidiary exclusively controlled by the company Thom Group (hereinafter, "TG"), the parent company of the eponymous group. This group is active in the jewelry and watchmaking sector and distributes precious jewelry, costume jewelry, and watch products. It is present in France through the brands Histoire d'Or, Marc-Orian, TrésOr, J'M, and Smizze.</w:t>
        <w:br/>
        <w:t>3. The target assets cover the design and sale of jewelry under the Agatha brand and are currently held by the companies Seize, Agatha, and Agatha Diffusion, which belong to the parent company of the Agatha group. They particularly include a network of retail points of sale, consisting of 32 boutiques and 40 dedicated sales areas within department stores ("corners") throughout France.</w:t>
        <w:br/>
        <w:t>4. The notified operation is formalized by the offers dated January 18, 2021, and February 5, 2021, and the judgments of the Commercial Court of Bobigny dated February 26, 2021. It follows from the consortium protocol communicated by the parties that each of the two acquirers, Altesse and Thom, will hold 50% of the capital and voting rights of a joint venture, within which the acquired assets will be placed. Furthermore, the governance of the joint venture will be ensured by a [confidential] supervisory committee. Finally, the committee [confidential]. Given these elements, it should be considered that Thom and Altesse will jointly exercise control over the joint venture managing the acquired assets.</w:t>
        <w:br/>
        <w:t>5. As it results in the joint control by Altesse and Thom of the target assets, the operation constitutes a concentration within the meaning of Article L. 430-1 of the Commercial Code.</w:t>
        <w:br/>
        <w:t>6. The companies concerned together achieve a total turnover excluding taxes on a global scale of more than 75 million euros (TG: [≥ 75 million] euros for the fiscal year ending December 31, 2019; RLG: [≤ 75 million] euros for the same fiscal year; target assets: [≤ 75 million] euros for the same fiscal year). At least two of the companies concerned achieve in France in the retail sector a turnover exceeding 15 million euros (TG: [≥ 15 million] euros for the fiscal year ending December 31, 2019; RLG: [≤ 15 million] euros for the same fiscal year; target assets: [≥ 15 million] euros for the same fiscal year).</w:t>
        <w:br/>
        <w:t>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w:t>
      </w:r>
    </w:p>
    <w:p>
      <w:r>
        <w:t>II. DELIMITATION OF THE RELEVANT MARKETS</w:t>
        <w:br/>
        <w:t>8. The parties are simultaneously active in the jewelry and watchmaking sector. In this sector, different categories of markets are distinguished: the upstream market for supply (A), the wholesale distribution markets (B), and the downstream retail distribution markets (C).</w:t>
        <w:br/>
        <w:t>A. THE MARKET FOR JEWELRY SUPPLY</w:t>
        <w:br/>
        <w:t>9. Regarding the delimitation of the product market, the Authority considered the existence of a single market for jewelry supply including both watchmaking, jewelry, and goldsmithing products (hereinafter "HBJO") and costume jewelry, while leaving the question open.</w:t>
        <w:br/>
        <w:t>10. Regarding the delimitation of the geographic market, the Authority retained a national dimension.</w:t>
        <w:br/>
        <w:t>11. In this case, it is not necessary to resolve the question of the exact definition of this market, as the conclusions of the competitive analysis remain unchanged, regardless of the delimitation adopted.</w:t>
        <w:br/>
        <w:t>B. THE WHOLESALE JEWELRY MARKETS</w:t>
        <w:br/>
        <w:t>12. In terms of distribution, the decisional practice usually distinguishes the wholesale distribution markets, where wholesalers sell products to distributors, which are distinct from the supply markets where wholesalers and retail distribution companies source from manufacturers. The wholesale distribution markets are also distinguished from the retail distribution markets, located downstream, where distributors sell products to final consumers.</w:t>
        <w:br/>
        <w:t>13. The Authority's decisional practice has defined wholesale distribution markets for jewelry and watchmaking products, goldsmithing, and silverware ("HBJO"), excluding luxury products. It has adopted a segmentation by product types distinguishing wholesale distribution of (i) small volume watchmaking, (ii) precious jewelry, and (iii) non-precious jewelry. The practice has also distinguished the wholesale distribution market for costume jewelry. There is no need to challenge this segmentation in this case.</w:t>
      </w:r>
    </w:p>
    <w:p>
      <w:r>
        <w:rPr>
          <w:b/>
        </w:rPr>
        <w:t>[Pages 4–6]</w:t>
      </w:r>
    </w:p>
    <w:p>
      <w:r>
        <w:t>14. The exact geographic definition of the wholesale jewelry market has not been decided by the Authority (the analysis having been conducted on a global and national scale).</w:t>
      </w:r>
    </w:p>
    <w:p>
      <w:r>
        <w:t>15. In any case, for the purposes of the present operation, the exact definition of the relevant market can be left open, insofar as the conclusions of the competitive analysis remain unchanged, regardless of the delineation adopted.</w:t>
      </w:r>
    </w:p>
    <w:p>
      <w:r>
        <w:t>C. THE RETAIL JEWELRY MARKETS</w:t>
      </w:r>
    </w:p>
    <w:p>
      <w:r>
        <w:t>1. THE PRODUCT MARKETS</w:t>
      </w:r>
    </w:p>
    <w:p>
      <w:r>
        <w:t>16. Regarding the retail distribution of HBJO products, the Authority has distinguished the markets of (i) small volume watchmaking (watches and movements), (ii) precious jewelry (jewelry in precious metals, whether set with stones or not), and (iii) non-precious jewelry (jewelry plated with precious metal or made of an alloy incorporating precious metals). It has also identified a market for costume jewelry, which contains neither precious metal nor precious or semi-precious stones.</w:t>
      </w:r>
    </w:p>
    <w:p>
      <w:r>
        <w:t>17. National decision-making practice considers that high jewelry products, sold by companies traditionally referred to by the generic term "Place Vendôme," are also excluded, notably due to their particularly high selling price. The Commission has considered, while leaving the question open, the existence of a market for luxury watches and jewelry.</w:t>
      </w:r>
    </w:p>
    <w:p>
      <w:r>
        <w:t>18. Furthermore, the Authority has considered the existence of a segmentation of the retail distribution market for small volume watch products, by price level, distinguishing the retail sale of mid-range watches. In this regard, the Authority has considered that watches referred to as "luxury," priced above 3,000 euros, do not belong to the HBJO market, but to that of high jewelry.</w:t>
      </w:r>
    </w:p>
    <w:p>
      <w:r>
        <w:t>19. Regarding the distribution channels for HBJO products, the Authority has considered that city jewelers, shopping center jewelers, dedicated sales spaces within department stores, hypermarkets, and large stores are in competition, given the similarities that exist between these different sales formats, in terms of jewelry assortment, price ranges, store layout, and supply.</w:t>
      </w:r>
    </w:p>
    <w:p>
      <w:r>
        <w:t>20. In the context of an operation involving a company distributing jewelry exclusively by distance, the Authority has also questioned a possible segmentation between in-store retail and distance selling.</w:t>
      </w:r>
    </w:p>
    <w:p>
      <w:r>
        <w:t>21. There is no need to revisit this decision-making practice during the present investigation.</w:t>
      </w:r>
    </w:p>
    <w:p>
      <w:r>
        <w:t>2. THE GEOGRAPHIC MARKETS</w:t>
      </w:r>
    </w:p>
    <w:p>
      <w:r>
        <w:t>22. Regarding retail distribution markets in-store, competition occurs at the local level, in catchment areas defined based on the attractiveness of the points of sale for consumers. The target stores are located in these shopping centers as well as in city centers.</w:t>
      </w:r>
    </w:p>
    <w:p>
      <w:r>
        <w:t>23. In accordance with previous decision-making practice, the analysis will be conducted at the city center level concerning the target's points of sale located in city centers as well as in catchment areas corresponding to travel times of 20 and 30 minutes by car from the target points of sale, when the target points of sale are located in a shopping center.</w:t>
      </w:r>
    </w:p>
    <w:p>
      <w:r>
        <w:t>24. Furthermore, regarding distance sales, the Authority has considered that the distance selling of costume jewelry has a national dimension. The analysis will thus be conducted at the national level concerning the distance selling of jewelry.</w:t>
      </w:r>
    </w:p>
    <w:p>
      <w:r>
        <w:t>III. COMPETITIVE ANALYSIS</w:t>
      </w:r>
    </w:p>
    <w:p>
      <w:r>
        <w:t>A. ANALYSIS OF HORIZONTAL EFFECTS</w:t>
      </w:r>
    </w:p>
    <w:p>
      <w:r>
        <w:t>1. THE MARKETS FOR THE SUPPLY OF JEWELRY</w:t>
      </w:r>
    </w:p>
    <w:p>
      <w:r>
        <w:t>25. The parties rely on different suppliers for their supply of finished jewelry. RLG manufactures most of the products it distributes itself, while the target assets rely on third-party manufacturers for the production of the products they create and then sell at retail. TG, for its part, primarily sources from third-party manufacturers globally, and from wholesalers for purchases from French players.</w:t>
      </w:r>
    </w:p>
    <w:p>
      <w:r>
        <w:t>26. The combined purchasing shares of the parties from the different types of suppliers in France do not exceed [5-10]% regarding the supply of HBJO products, regardless of the segmentation considered, and are at [0-5]% regarding the supply of costume jewelry.</w:t>
      </w:r>
    </w:p>
    <w:p>
      <w:r>
        <w:t>27. Therefore, the operation is not likely to harm competition in the jewelry supply markets.</w:t>
      </w:r>
    </w:p>
    <w:p>
      <w:r>
        <w:t>2. THE MARKETS FOR WHOLESALE JEWELRY</w:t>
      </w:r>
    </w:p>
    <w:p>
      <w:r>
        <w:t>28. In the various wholesale jewelry markets, the combined market shares of the target and TG, on one hand, or of the target and RLG, on the other hand, are below [0-5]%.</w:t>
      </w:r>
    </w:p>
    <w:p>
      <w:r>
        <w:t>29. Therefore, the operation is not likely to harm competition in the wholesale jewelry markets.</w:t>
      </w:r>
    </w:p>
    <w:p>
      <w:r>
        <w:t>3. THE RETAIL JEWELRY MARKETS</w:t>
      </w:r>
    </w:p>
    <w:p>
      <w:r>
        <w:t>a) National Level Analysis</w:t>
      </w:r>
    </w:p>
    <w:p>
      <w:r>
        <w:t>30. The activities of the parties overlap only in the markets for non-precious jewelry and costume jewelry, as Agatha is not present in the precious jewelry market and is only marginally present in the small volume watch market.</w:t>
      </w:r>
    </w:p>
    <w:p>
      <w:r>
        <w:t>31. At the national level, concerning in-store sales, the combined market shares of the target and TG, on one hand, as well as those of the target and RLG, on the other hand, do not exceed [10-20]% in the non-precious jewelry market, and do not exceed [5-10]% in the costume jewelry market. Furthermore, in each of these two markets, the additions of market shares are very limited and never exceed [0-5] point.</w:t>
      </w:r>
    </w:p>
    <w:p>
      <w:r>
        <w:t>32. Regarding distance sales, the combined market shares of the target and TG, on one hand, as well as those of the target and RLG, on the other hand, do not exceed [10-20]% in the non-precious jewelry market and [5-10]% in the costume jewelry market. Furthermore, in each of these two markets, the additions of market shares are very limited (below 1 point).</w:t>
      </w:r>
    </w:p>
    <w:p>
      <w:r>
        <w:t>33. At the national level, the operation is therefore not likely to harm competition through horizontal effects in the various retail jewelry markets.</w:t>
      </w:r>
    </w:p>
    <w:p>
      <w:r>
        <w:t>b) Local Level Analysis</w:t>
      </w:r>
    </w:p>
    <w:p>
      <w:r>
        <w:t>34. At the local level, the operation concerns 72 Agatha points of sale, with RLG having 55 points of sale and TG and its franchisees having 373 points of sale. The operation results in an overlap of activity in the 72 areas where an Agatha store is present.</w:t>
      </w:r>
    </w:p>
    <w:p>
      <w:r>
        <w:t>35. In all the areas where there is an overlap of activity between the target and RLG, their combined market shares are below 25%.</w:t>
      </w:r>
    </w:p>
    <w:p>
      <w:r>
        <w:t>36. Regarding the areas where there is an overlap of activity between the target and TG, the combined market shares are below 25% in 67 of the 72 areas. In the other five local areas (Avignon (84), Brest (29), Melun Sénart (77), Pau Lescar (64), and Roissy Aéroville (95)), the combined market shares of the target and TG remain moderate and are between [20-30]% and [30-40]%.</w:t>
      </w:r>
    </w:p>
    <w:p>
      <w:r>
        <w:t>37. In the local area of Avignon (84), the combined market share of the target and TG does not exceed 25% only in the non-precious jewelry market. In this market, it reaches [20-30]%, with a very slight increase in market share as Agatha only has a market share of [0-5]%.</w:t>
      </w:r>
    </w:p>
    <w:p>
      <w:r>
        <w:t>38. In the local area of Brest (29), the combined market share of the target and TG does not exceed 25% only in the non-precious jewelry market. In this market, it reaches [20-30]%, with a slight increase in market shares ([0-5] points). Moreover, in this area, there are more than 10 competing points of sale, including major national brands (Swarovski or Julien D’Orcel, for example).</w:t>
      </w:r>
    </w:p>
    <w:p>
      <w:r>
        <w:t>39. In the local area of Pau Lescar (64), the combined market shares of the target and TG exceed 25% in the non-precious jewelry market with [30-40]% as well as in the market.</w:t>
      </w:r>
    </w:p>
    <w:p>
      <w:r>
        <w:rPr>
          <w:b/>
        </w:rPr>
        <w:t>[Pages 7–9]</w:t>
      </w:r>
    </w:p>
    <w:p>
      <w:r>
        <w:t>costume jewelry with [20-30]%. In the non-precious jewelry market, the market shares of TG and Agatha are respectively [20-30]% and [5-10]%. In the costume jewelry market, the market shares of TG and Agatha are respectively [5-10]% and [10-20]%. In this area, however, there are several competing points of sale, including 2 major national brands (Pandora and the Manège à bijoux E. Leclerc) and 8 independent points of sale.</w:t>
      </w:r>
    </w:p>
    <w:p>
      <w:r>
        <w:t>40. In the local area of Melun Sénart (77), the combined market share of the target and TG does not exceed 25% only in the non-precious jewelry market. In this market, it reaches [30-40]%, with a low increase in market shares, as Agatha has a market share of [0+-5]% in this area. Furthermore, in this area, there are many competing points of sale. Indeed, there are two major shopping centers (Carré Sénart and Évry 2), each hosting several large competing national brands (Swarovski, Julien D’Orcel, Pandora, Cléor, or Carador). The area also includes about twenty independent points of sale.</w:t>
      </w:r>
    </w:p>
    <w:p>
      <w:r>
        <w:t>41. In the local area of Roissy Aéroville (95), the combined market share of the target and TG does not exceed 25% only in the non-precious jewelry market. In this market, it reaches [30-40]%, with a low increase in market shares, as Agatha has a market share of [0-5]% in this area. Moreover, in this area, there are a large number of competing points of sale belonging to major national brands (Swarovski, Julien D’Orcel, Pandora, Cléor, Carador, the Manège à bijoux E. Leclerc, or Les nouveaux bijoutiers) and independents (nearly 25 points of sale).</w:t>
      </w:r>
    </w:p>
    <w:p>
      <w:r>
        <w:t>42. Given the above elements, the operation is not likely to harm competition through horizontal effects in the various local retail jewelry markets.</w:t>
      </w:r>
    </w:p>
    <w:p>
      <w:r>
        <w:t>B. ANALYSIS OF VERTICAL EFFECTS</w:t>
      </w:r>
    </w:p>
    <w:p>
      <w:r>
        <w:t>43. In this case, the TG and RLG groups sell jewelry wholesale, while the target markets jewelry. It is therefore necessary to consider the vertical impact of the operation.</w:t>
      </w:r>
    </w:p>
    <w:p>
      <w:r>
        <w:t>44.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45. However, the decision-making practice generally holds that "it is unlikely that a company with a market share of less than 30% in a relevant market can lock in a downstream or upstream market."</w:t>
      </w:r>
    </w:p>
    <w:p>
      <w:r>
        <w:t>46. As appears in point 28* of this decision, the combined market shares of the target and TG, on one hand, as well as those of the target and RLG, on the other hand, are low in the various wholesale distribution markets (below [0-5]%).</w:t>
      </w:r>
    </w:p>
    <w:p>
      <w:r>
        <w:t>47. Regarding the various retail distribution markets, the combined market shares of the target and TG, on one hand, as well as those of the target and RLG, on the other hand, do not exceed [10-20]% at the national level, as appears in point 31* of this decision. At the local level, the combined market shares of the target and TG or RLG exceed 30% only in three areas, while remaining moderate (in any case below [30-40]%). Furthermore, in these areas, there are many competing distributors, likely to provide alternative outlets for competing jewelry wholesalers. Thus, assuming that after the operation Agatha's purchases are internalized with its parent companies, such a situation would not be problematic.</w:t>
      </w:r>
    </w:p>
    <w:p>
      <w:r>
        <w:t>48. Therefore, the operation is not likely to harm competition through vertical effects.</w:t>
      </w:r>
    </w:p>
    <w:p>
      <w:r>
        <w:t>C. ANALYSIS OF COORDINATED EFFECTS</w:t>
      </w:r>
    </w:p>
    <w:p>
      <w:r>
        <w:t>49. Since the operation involves the acquisition of control of the target by the TG and RLG groups, it is necessary to determine whether the operation is likely to harm competition due to coordination of the behavior of these two groups. According to the decision-making practice of the European Commission, adopted by national decision-making practice, a risk of coordination between the parent companies may occur when the following three cumulative conditions are met: (i) the risk of coordination must have a direct causal link with the creation of the joint venture, (ii) the coordination must be sufficiently plausible, and (iii) the coordination must have a significant effect on competition.</w:t>
      </w:r>
    </w:p>
    <w:p>
      <w:r>
        <w:t>50. However, such a risk can be ruled out in this case. Indeed, the positions of the notifying parties across all analyzed markets are such that a coordination strategy would not have significant effects on competition. It appears that the combined market shares of the parties and the target are below [10-20]% in the various national retail jewelry distribution markets, and below 30% in all local markets where TG and RLG are simultaneously present. Furthermore, there are many competitors in these markets with national presence as well as a multitude of independent operators. Additionally, the local nature of these markets makes it difficult to implement coordinated behavior among the purchasers.</w:t>
      </w:r>
    </w:p>
    <w:p>
      <w:r>
        <w:t>51. The operation is not likely to harm competition through coordinated effects.</w:t>
      </w:r>
    </w:p>
    <w:p>
      <w:r>
        <w:t>* Correction of material error.</w:t>
      </w:r>
    </w:p>
    <w:p>
      <w:r>
        <w:t>DECIDES</w:t>
      </w:r>
    </w:p>
    <w:p>
      <w:r>
        <w:t>Sole Article: The operation notified under number 21-023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