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https://www.autoritedelaconcurrence.fr/fr/decision-de-controle-des-concentrations/relative-la-prise-de-controle-conjoint-dun-ensemble</w:t>
      </w:r>
    </w:p>
    <w:p>
      <w:r>
        <w:t>Pages translated : 5</w:t>
      </w:r>
    </w:p>
    <w:p/>
    <w:p>
      <w:r>
        <w:rPr>
          <w:b/>
        </w:rPr>
        <w:t>[Pages 1–3]</w:t>
      </w:r>
    </w:p>
    <w:p>
      <w:r>
        <w:t xml:space="preserve">FRENCH REPUBLIC  </w:t>
        <w:br/>
        <w:t xml:space="preserve">Decision No. 14-DCC-193 of December 24, 2014  </w:t>
        <w:br/>
        <w:t>regarding the joint control of a real estate complex in Nice by the Caisse des Dépôts et Consignations and by the company Immo Retail</w:t>
      </w:r>
    </w:p>
    <w:p>
      <w:r>
        <w:t xml:space="preserve">The Competition Authority,  </w:t>
        <w:br/>
        <w:t xml:space="preserve">Having regard to the notification file submitted in full to the merger service on November 21, 2014, regarding the joint control of a real estate complex in Nice by the Caisse des Dépôts et Consignations alongside the company Immo Retail, formalized by a shareholders' agreement between Immo Retail and the CDC dated February 21, 2014, as well as by a sale project in the future state of completion dated December 4, 2014;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Immo Retail Sarl is a heritage investment company whose purpose is the acquisition of all real estate assets and rights, the activity of a property trader, renovation, management, leasing, and sale of real estate. Immo Retail is 100% owned by Frédéric Carrère Finance SAS (hereinafter, the "FCF" group), a company at the head of the Carrère group, which is itself 100% owned by Mr. Frédéric Carrère.  </w:t>
        <w:br/>
        <w:t xml:space="preserve">2. The Caisse des Dépôts et Consignations (hereinafter, "the CDC") is a public establishment with a special legal status, governed by Articles L. 518-2 and following of the Monetary and Financial Code, which fulfills missions of general interest in support of public policies conducted by the State and local authorities, and which carries out activities open to competition. These are grouped around four poles: (i) the environment, (ii) real estate through its subsidiaries Société Nationale Immobilière and Icade, (iii) investment and private equity, and (iv) services. Established by the law of April 28, 1816, the CDC is placed "under the supervision and guarantee of the legislative authority," this governance mode being intended to ensure the autonomy of this institution which manages private funds requiring special protection.  </w:t>
        <w:br/>
        <w:t xml:space="preserve">3. The target of the operation is a building to be constructed consisting of three blocks and located in the Moulins district, on Avenue Paul Montel in Nice, with a total area of approximately 3,200 m² SHON and an underground parking lot with 57 spaces (hereinafter "the Real Estate Complex"). The building is currently owned by the company Gotham, through the real estate civil company Moulins Paul Montel, itself owned by FCF.  </w:t>
        <w:br/>
        <w:t xml:space="preserve">4. This building being acquired under a sale in the future state of completion contract (hereinafter "VEFA"), it will therefore not generate any turnover from third parties on the day of acquisition. However, the building will be leased by the notifying parties under a lease signed on December 12, 2012, and an amendment dated October 10, 2014, for a duration of nine years. This lease, signed with the company Distribution Casino France, concerns one of the three blocks with a rental area of 1,778 m². The building is therefore an asset expected to generate turnover in the short term and with certainty.  </w:t>
        <w:br/>
        <w:t xml:space="preserve">5. The notified operation, formalized by a draft sale contract in the future state of completion dated December 4, 2014, consists of the acquisition of this building by the real estate civil company Moulins Plaine du Var, created for the needs of the operation and owned 60% of the capital and voting rights by Immo Retail and 40% by the CDC. The CDC and Immo Retail will exercise joint control over the target asset, insofar as, in accordance with the statutes and the provisions of the draft shareholders' agreement of the SCI, strategic decisions regarding its activity will be adopted unanimously by the partners.  </w:t>
        <w:br/>
        <w:t xml:space="preserve">6. Insofar as it results in the joint control of the target by FCF and the CDC, the operation constitutes a concentration within the meaning of Article L. 430-1 of the Commercial Code.  </w:t>
        <w:br/>
        <w:t>7. The concerned companies together achieve a total worldwide turnover excluding tax of more than 150 million euros (CDC: […] euros for the fiscal year ending December 31, 2013; FCF: […] euros for the fiscal year ending December 31, 2013). They achieve a turnover in France exceeding 50 million euros (CDC: […] euros for the fiscal year ending December 31, 2013; FCF: […] euros for the fiscal year ending December 31, 2013). The control thresholds mentioned in I of Article L. 430-2 of the Commercial Code are therefore exceeded. Given these turnover figures, the operation does not fall under the jurisdiction of the European Union. The concentration is thus subject to the provisions of Articles L. 430-3 and following of the Commercial Code relating to economic concentration.</w:t>
      </w:r>
    </w:p>
    <w:p>
      <w:r>
        <w:t xml:space="preserve">II. Definition of relevant markets  </w:t>
        <w:br/>
        <w:t xml:space="preserve">A. PRODUCT AND SERVICE MARKETS  </w:t>
        <w:br/>
        <w:t xml:space="preserve">8. The operation results in an overlap of activities in the real estate services sector.  </w:t>
        <w:br/>
        <w:t xml:space="preserve">9. The national3 and European4 competition authorities have considered, while leaving the question open, different segmentations in the real estate services sector according to (i) the recipients of the services (individuals or businesses), (ii) the pricing method (free residential real estate and subsidized social or intermediate housing), (iii) the type of activity conducted on the premises (offices5, commercial premises, and other activity premises), and (iv) the nature of the services or goods offered.  </w:t>
        <w:br/>
        <w:t xml:space="preserve">10. For this last segmentation, the following services have been identified:  </w:t>
        <w:br/>
        <w:t xml:space="preserve">(i) real estate development, which includes construction and sale activities of real estate properties;  </w:t>
        <w:br/>
        <w:t xml:space="preserve">(ii) management of real estate assets for own account;  </w:t>
        <w:br/>
        <w:t xml:space="preserve">(iii) management of real estate assets for third parties (institutional investors, mainly banks and insurance companies) which covers advisory and portfolio management (arbitration and asset valuation), structuring of real estate investment operations, and management of real estate assets and specialized investment vehicles (notably real estate civil companies);  </w:t>
        <w:br/>
        <w:t xml:space="preserve">(iv) property management which covers the activities of managing buildings on behalf of owners and can be segmented between rental management and co-ownership management;  </w:t>
        <w:br/>
        <w:t xml:space="preserve">(v) real estate appraisal;  </w:t>
        <w:br/>
        <w:t xml:space="preserve">(vi) real estate consulting;  </w:t>
        <w:br/>
        <w:t xml:space="preserve">(vii) intermediation in real estate transactions for which intermediation in purchase/sale operations is distinguished from intermediation in leasing operations.  </w:t>
        <w:br/>
        <w:t xml:space="preserve">11. In this case, the parties are simultaneously active in the markets for the management for own account of real estate assets intended for businesses for office and retail use.  </w:t>
        <w:br/>
        <w:t xml:space="preserve">12. Regarding real estate assets for retail use, the decisional practice6, while leaving the question open, has considered a segmentation between shopping centers and retail premises at the foot of buildings. In this case, the parties to the operation engage in management for own account of retail premises at the foot of buildings.  </w:t>
        <w:br/>
        <w:t xml:space="preserve">13. However, it is not necessary to resolve this question in the context of the present operation, as the conclusions of the analysis remain unchanged regardless of the delimitation retained.  </w:t>
        <w:br/>
        <w:t xml:space="preserve">3 See in particular the decision of the Competition Authority No. 09-DCC-16 of June 22, 2009, regarding the merger between the Caisse d’Épargne and Banque Populaire groups, decision No. 14-DCC-46 of April 1, 2014, regarding the joint control of an industrial real estate asset in Moselle by Norges Bank and Prologis, as well as decision C2008-79 / Letter from the Minister of Economy, Industry and Employment dated August 22, 2008, to the advisors of the CDC and Eurosic companies, regarding a concentration in the real estate sector, BOCCRF No. 8 bis of October 23, 2008.  </w:t>
        <w:br/>
        <w:t xml:space="preserve">4 See the decisions of the European Commission COMP/M.2110 Deutsche Bank / SEI / JV of September 25, 2000, IV/M.2825 Fortis AG SA / Bernheim-Comofi SA of July 9, 2002, COMP/M.3370 BNP Paribas/ARI of March 9, 2004.  </w:t>
        <w:br/>
        <w:t xml:space="preserve">5 See the decisions of the Competition Authority No. 12-DCC-156 of November 12, 2012, regarding the joint control of a real estate civil company for the acquisition of an office building by CNP Assurance and Sogecap, and No. 12-DCC-157 of November 15, 2012, regarding the joint control of a real estate civil company for the holding of an office building located in Lyon by the companies Prédica and the Caisse des Dépôts et Consignations.  </w:t>
        <w:br/>
        <w:t>6 See the decisions of the Competition Authority No. 11-DCC-178 of December 13, 2011, and No. 14-DCC-36 of March 18, 2014, and the letter from the Minister of Economy C2007-52 of May 22, 2007.</w:t>
      </w:r>
    </w:p>
    <w:p>
      <w:r>
        <w:rPr>
          <w:b/>
        </w:rPr>
        <w:t>[Pages 4–5]</w:t>
      </w:r>
    </w:p>
    <w:p>
      <w:r>
        <w:t xml:space="preserve">B. GEOGRAPHIC MARKETS  </w:t>
        <w:br/>
        <w:t xml:space="preserve">14. The decisional practice7 considers that markets related to the real estate sector are of local dimension, while leaving the question open. However, the analysis has already been conducted at the national level for real estate services intended for businesses when operations were carried out by groups with a national scope following a strategy of establishment according to a territorial network logic.  </w:t>
        <w:br/>
        <w:t xml:space="preserve">15. For the Île-de-France region, the Minister of Economy noted that "the Paris region has particular properties of continuity of urban areas. Indeed, there is a vast, highly urbanized, and homogeneous area covering most of Île-de-France, served by an overall transport network; the inhabitants are always able to arbitrate between different parts of the region. This substitutability leads to a convergence at the price level. Therefore, the regional level is the most appropriate for competitive analysis"8. For other regions, the competition authorities have conducted their competitive analyses at the regional or sub-regional level. Thus, in its recent decisions, the Authority examined the effects of operations at the level of urban areas9.  </w:t>
        <w:br/>
        <w:t xml:space="preserve">16. In this case, the activities of the target overlap with those of the CDC in the Provence-Alpes-Côte-D’azur region, with FCF not being present in this region. The analysis will therefore be conducted at the level of the Provence-Alpes-Côte-D’azur region, at the level of the Alpes-Maritimes department (06), and at the level of the Nice urban area.  </w:t>
        <w:br/>
        <w:t xml:space="preserve">III. Competitive Analysis  </w:t>
        <w:br/>
        <w:t xml:space="preserve">17. At the regional level (Provence-Alpes-Côte-D’azur) and departmental level (Alpes-Maritimes (06)), the notifying parties estimate that they hold a market share of less than [0-5]% regardless of the market segmentation retained.  </w:t>
        <w:br/>
        <w:t xml:space="preserve">18. At the level of the Nice urban area, the parties were unable to provide their exact market shares. However, they indicated that the market share of the CDC in Nice, across each of the potential market segments concerned, is less than [0-5]% and that any risk of harm to competition could be ruled out, given the small size of the target of the operation (3,200 m²).  </w:t>
        <w:br/>
        <w:t xml:space="preserve">19. Consequently, the operation is not likely to harm competition in the various markets for the ownership and management for one's own account of real estate assets.  </w:t>
        <w:br/>
        <w:t xml:space="preserve">7 See in particular decisions n° 09-DCC-16 mentioned above and C2005-108 / Letter from the Minister of Economy, Finance and Industry dated November 25, 2005, to the boards of the company Foncière des Régions regarding a concentration in the real estate sector, BOCCRF n°6 bis of June 21, 2006, as well as the decision of the Commission M. 2825 mentioned above.  </w:t>
        <w:br/>
        <w:t xml:space="preserve">8 See decision C2006-151/ Letter from the Minister of Economy, Finance and Industry dated January 10, 2007, to the board of the Société Nationale Immobilière group, regarding a concentration in the sector of development and management of real estate parks primarily for residential purposes, BOCCRF n° 3 bis of March 23, 2007.  </w:t>
        <w:br/>
        <w:t>9 See the decisions of the Competition Authority n° 14-DCC-36 of March 18, 2014, regarding the exclusive control by the Carrefour group of a portfolio of 57 shopping galleries from the company Klépierre, n° 14-DCC-164 of November 13, 2014, regarding the exclusive control by the Carrefour group of a portfolio of six shopping galleries from the company Unibail-Rodamco, and Decision n° 14-DCC-166 of November 13, 2014, regarding the exclusive control by Klépierre SA of Corio NV.</w:t>
      </w:r>
    </w:p>
    <w:p>
      <w:r>
        <w:t xml:space="preserve">DECIDES  </w:t>
        <w:br/>
        <w:t xml:space="preserve">Article unique: The operation notified under number 14-208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