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https://www.autoritedelaconcurrence.fr/fr/decision-de-controle-des-concentrations/relative-la-prise-de-controle-conjoint-dun-fonds-de-0</w:t>
      </w:r>
    </w:p>
    <w:p>
      <w:r>
        <w:t>Pages translated : 7</w:t>
      </w:r>
    </w:p>
    <w:p/>
    <w:p>
      <w:r>
        <w:rPr>
          <w:b/>
        </w:rPr>
        <w:t>[Pages 1–3]</w:t>
      </w:r>
    </w:p>
    <w:p>
      <w:r>
        <w:t>FRENCH REPUBLIC</w:t>
        <w:br/>
        <w:t>Decision No. 12-DCC-110 of August 2, 2012</w:t>
        <w:br/>
        <w:t>regarding the joint control of a business of DIY products</w:t>
        <w:br/>
        <w:t>by the companies La Boîte à Outils SAS and Mr Bricolage SA</w:t>
        <w:br/>
        <w:t>The Competition Authority,</w:t>
        <w:br/>
        <w:t>Having regard to the notification file submitted in full to the concentrations service on July 6, 2012,</w:t>
        <w:br/>
        <w:t>regarding the joint control of a business of DIY products operated</w:t>
        <w:br/>
        <w:t>by the company BSD, by the companies La Boîte à Outils SAS and Mr Bricolage SA, formalized by</w:t>
        <w:br/>
        <w:t>a business transfer contract dated June 28, 2012;</w:t>
        <w:br/>
        <w:t>Having regard to Book IV of the Commercial Code relating to price and competition freedom, and</w:t>
        <w:br/>
        <w:t>notably its Articles L. 430-1 to L. 430-7;</w:t>
        <w:br/>
        <w:t>Having regard to the supplementary elements transmitted by the parties during the investigation;</w:t>
        <w:br/>
        <w:t>Adopts the following decision:</w:t>
        <w:br/>
        <w:t>I. The concerned companies and the operation</w:t>
        <w:br/>
        <w:t>1. The company Mr Bricolage SA is the parent company of the Mr Bricolage group (hereinafter "Mr</w:t>
        <w:br/>
        <w:t>Bricolage"). It is held at 35.26* % by the company SIMB, at 5.44* % by the</w:t>
        <w:br/>
        <w:t>company SIFA and at 1.15* % by the company SIFI. SIMB is 100% controlled by ANPF,</w:t>
        <w:br/>
        <w:t>a public limited company that is wholly owned by all members of the Mr Bricolage network, and subject to their fluctuating control. SIFI is 100% controlled by SIMB and SIFA</w:t>
        <w:br/>
        <w:t>is predominantly controlled by SIMB and ANPF. The remainder of the capital is held by the Tabur family, by the company's executives, and by the public. The Mr Bricolage group operates in</w:t>
        <w:br/>
        <w:t>the specialized distribution sector of DIY products, gardening, and construction materials through a network of DIY superstores (hereinafter "GSB"). Its activity is organized around two poles: the operation of</w:t>
        <w:br/>
        <w:t>integrated stores on one hand and services to affiliated store networks, notably referencing, on the other hand.</w:t>
        <w:br/>
        <w:t>*Corrected material error.</w:t>
      </w:r>
    </w:p>
    <w:p>
      <w:r>
        <w:t>2. In France, Mr Bricolage operates a network of 579 sales outlets under different brands: "Mr Bricolage" (402 stores, of which 87 are integrated), "Les Briconautes/Les Jardinautes" (140 stores, of which 2 are integrated) as well as "Catena" and "Super Catena" (37 stores). The group is also present outside of France through a network of 60 stores.</w:t>
      </w:r>
    </w:p>
    <w:p>
      <w:r>
        <w:t>3. The company La Boîte à Outils SAS (hereinafter "La Boîte à Outils") is a subsidiary of the company SAMSE, the holding company of the SAMSE group, active in the sectors of general and specialized trading of construction materials and retail distribution of DIY equipment. The capital of the company SAMSE is held at 50.4% by the holding company Dumont Investissement, itself controlled by the employees of SAMSE and at 21.1% by the company CRH France Distribution. The remaining 28.5% of the capital of SAMSE corresponds to shares listed on Euronext. SAMSE holds, directly or indirectly, stakes in 25 companies, 7 of which are active in the general trading of materials sector.</w:t>
      </w:r>
    </w:p>
    <w:p>
      <w:r>
        <w:t>4. La Boîte à Outils operates a network of stores distributing tools and construction materials located in the southeast of France under two brands: "La Boîte à Outils" (9 stores) and "L’Entrepôt du bricolage" (16 stores).</w:t>
      </w:r>
    </w:p>
    <w:p>
      <w:r>
        <w:t>5. The company SARL BSD, controlled by Mrs. Brigitte Demange, operates a business of purchasing and selling DIY products and home equipment located in the faubourg d’Epinal in Remiremont (88). It is a DIY superstore of 3,643 m², operated under the Mr Bricolage brand.</w:t>
      </w:r>
    </w:p>
    <w:p>
      <w:r>
        <w:t>6. The operation consists of the acquisition of the business of SARL BSD by the company DEDB Remiremont, a subsidiary established for the needs of the operation by the company DEDB SAS, a company jointly controlled by Mr Bricolage and La Boîte à Outils and whose main purpose is the acquisition, leasing, or operation of retail businesses of DIY products under the brand "L’Entrepôt du bricolage" or "La Boîte à Outils".</w:t>
      </w:r>
    </w:p>
    <w:p>
      <w:r>
        <w:t>7. As it results in the joint control of the business of SARL BSD located in Remiremont (88) by La Boîte à Outils and Mr Bricolage, via DEDB SAS, the notified operation constitutes a concentration within the meaning of Article L.430-1 of the Commercial Code.</w:t>
      </w:r>
    </w:p>
    <w:p>
      <w:r>
        <w:t>8. The concerned companies together achieve a total turnover excluding taxes on a global scale of more than 150 million euros (Mr Bricolage: 562 million euros for the fiscal year ending December 31, 2011; SAMSE group: 1.14 billion euros for the same fiscal year). Two of them operate one or more retail stores and achieve, in France, a turnover exceeding 15 million euros (Mr Bricolage: 554 million euros for the fiscal year ending December 31, 2011; SAMSE group: 1.14 billion euros for the same fiscal year). Given these turnover figures, the operation does not have a community dimension. On the other hand, the control thresholds mentioned in point II of Article L. 430-2 of the Commercial Code are exceeded. This operation is therefore subject to the provisions of Articles L. 430-3 and following of the Commercial Code relating to economic concentration.</w:t>
        <w:br/>
        <w:t>1 This figure takes into account the Catena and Super Catena stores as of the date of notification of the operation. Since 2009, the Catena and Super Catena stores have been gradually transitioning to the Mr Bricolage brand.</w:t>
      </w:r>
    </w:p>
    <w:p>
      <w:r>
        <w:t>II. Delimitation of Relevant Markets</w:t>
        <w:br/>
        <w:t>9. The parties conduct their activities in the retail sector of DIY products for individuals. Decision-making practice, both at the community and national level, generally distinguishes two main markets in this sector:</w:t>
        <w:br/>
        <w:t>- the downstream distribution market where companies in the retail sector of DIY, decoration, and gardening products interact as suppliers with final consumers;</w:t>
        <w:br/>
        <w:t>- the upstream supply markets where companies, as clients, interact with manufacturers of DIY, decoration, and gardening products.</w:t>
        <w:br/>
        <w:t>A. THE DOWNSTREAM DISTRIBUTION MARKET OF DIY PRODUCTS</w:t>
        <w:br/>
        <w:t>1. SERVICE MARKETS</w:t>
        <w:br/>
        <w:t>10. The decision-making practice of national competition authorities has recognized the existence of a relevant market for the retail distribution of DIY and home improvement products marketed by large specialized DIY superstores ("GSB") whose size exceeds 300 m², which generally market a number of references exceeding 10,000 units and cater to a clientele almost exclusively composed of individuals.</w:t>
      </w:r>
    </w:p>
    <w:p>
      <w:r>
        <w:t>11. Regarding the inclusion of building materials traders in the relevant market, the competition authorities noted that the boundary between the building materials trading market and the retail distribution of DIY products is not impermeable, the degree of substitution between these two distinct channels depending heavily on the strategy of the various trading networks. The practice has noted that, firstly, some individuals, belonging to the category known as "heavy DIYers," capable of carrying out significant construction work and having expectations similar to those of professionals, source their supplies from building materials traders; secondly, many traders seek to reach a clientele of individuals by adapting to their expectations, with openings on Saturdays or locations in commercial areas of hypermarkets; finally, these traders have opened DIY "self-services" specifically aimed at individuals. It is therefore necessary to take into account the competitive pressure exerted on the parties to the operation by building materials traders, on a case-by-case basis and depending on the situation of each geographical market.</w:t>
      </w:r>
    </w:p>
    <w:p>
      <w:r>
        <w:rPr>
          <w:b/>
        </w:rPr>
        <w:t>[Pages 4–6]</w:t>
      </w:r>
    </w:p>
    <w:p>
      <w:r>
        <w:t xml:space="preserve">retained, to assess the effects of the present operation. The practice has thus retained in certain cases the competitive pressure from building materials traders with a self-service area dedicated to DIY with a surface area greater than 300 m2 and being open on Saturdays, in order to detect those more oriented towards public activities.  </w:t>
        <w:br/>
        <w:t xml:space="preserve">12. There is no reason to challenge this definition in the present case.  </w:t>
        <w:br/>
        <w:t xml:space="preserve">2. GEOGRAPHICAL DELIMITATION  </w:t>
        <w:br/>
        <w:t xml:space="preserve">13. As noted in several decisions by the European Commission, the Minister of the Economy, and the Competition Authority, the geographical markets related to the retail sectors are essentially local in dimension, their delimitation may depend on numerous factors, in particular the size of the stores and the nature of the products marketed.  </w:t>
        <w:br/>
        <w:t xml:space="preserve">14. The Commission has specified that in the case of specialized stores in DIY, decoration, and gardening products, the extent of the catchment areas is very variable depending on the size of the store, its location, the product listings, and the consumption habits of the households concerned. It has, therefore, retained the existence of catchment areas of around 20 km, while specifying that their extent may vary in cases where catchment areas overlap, to the extent that these overlaps ensure a continuity of the conditions under which competition operates in these areas.  </w:t>
        <w:br/>
        <w:t xml:space="preserve">15. The practice of national competition authorities corroborates these orders of magnitude, with both the Minister and the Competition Authority having retained an attractiveness zone of around 15 to 20 minutes by car for medium-sized DIY stores (2,000 to 3,000 m2) and a zone that can extend up to 30 minutes by car for larger sales outlets, or those that are relatively larger compared to immediate competitors, or located near a particularly attractive hypermarket. Previous decision-making practice has also noted that certain stores with a surface area greater than 5,000 m2 could attract customers located within a catchment area of 40 minutes by car.  </w:t>
        <w:br/>
        <w:t xml:space="preserve">16. The competitive analysis will therefore be conducted over a 30-minute driving zone around the target sales outlet, which has a surface area of 3,643 m2, taking into account the specific characteristics of the area, the degree of competitive pressure that the stores in the area are likely to exert on each other in light of their size and the distance, in travel time, that separates them.  </w:t>
        <w:br/>
        <w:t xml:space="preserve">B. THE UPSTREAM SUPPLY MARKET  </w:t>
        <w:br/>
        <w:t xml:space="preserve">1. PRODUCT MARKETS  </w:t>
        <w:br/>
        <w:t xml:space="preserve">17. The upstream supply market includes the sale of DIY, gardening, and building materials products by producers to intermediate professional clients such as wholesalers and purchasing or listing centers. Given that, in general, producers manufacture specific products or groups of products and are not technically able to easily convert to the manufacture of other products without significant costs, a distribution by product groups has been considered by decision-making practice, both national and community, which has segmented the following product groups: decoration, wall coverings, flooring, tiling, tools, hardware and storage, electricity and lighting, sanitary equipment, building materials, carpentry, gardening.  </w:t>
        <w:br/>
        <w:t xml:space="preserve">18. The European Commission has also considered, while leaving the question open, that certain supply markets could also be defined based on distribution channels, such that the supply of the specialized retail sector could constitute a distinct autonomous market from the supply of traders.  </w:t>
        <w:br/>
        <w:t xml:space="preserve">19. The question of the exact definition of supply markets can be left open, with the conclusions of the competitive analysis remaining unchanged in the context of the present operation.  </w:t>
        <w:br/>
        <w:t xml:space="preserve">2. GEOGRAPHICAL DELIMITATION  </w:t>
        <w:br/>
        <w:t xml:space="preserve">20. Due to the characteristics of distribution, decision-making practice has previously retained at least a national dimension for supply markets. However, it should be noted that in some cases, negotiations are conducted at the local or international level.  </w:t>
        <w:br/>
        <w:t xml:space="preserve">21. In this case, supply negotiations are conducted at the national level.  </w:t>
        <w:br/>
        <w:t xml:space="preserve">22. In any event, the question of the exact geographical delimitation of supply markets can remain open, with the conclusions of the competitive analysis remaining unchanged, regardless of the delimitation retained.  </w:t>
        <w:br/>
        <w:t xml:space="preserve">III. Competitive Analysis  </w:t>
        <w:br/>
        <w:t xml:space="preserve">1. HORIZONTAL EFFECTS  </w:t>
        <w:br/>
        <w:t xml:space="preserve">23. In the 30-minute catchment area around the target sales outlet in Remiremont (88), it represents a market share of [10-20]%. Mr Bricolage has a Mr Bricolage store of 1,500 m² located in Epinal within this area, which represents a market share of [0-5]%. The parties to the operation therefore hold a cumulative market share of [10-20]%.  </w:t>
        <w:br/>
        <w:t xml:space="preserve">24. The target store will face competition in this area from numerous stores, including three Bigmat outlets (representing a cumulative market share of [5-10]%), three Bricomarché stores ([30-40]%), one Bricodépôt store ([20-30]%), and one Bricorama store ([10-20]%).  </w:t>
        <w:br/>
        <w:t xml:space="preserve">25. Regarding the upstream supply markets, the operation, limited to one store, is not likely to significantly strengthen the purchasing power of La Boîte à Outils, under which the sales outlet will be operated after the operation.  </w:t>
        <w:br/>
        <w:t xml:space="preserve">2. RISK OF COORDINATION AMONG PARENT COMPANIES  </w:t>
        <w:br/>
        <w:t xml:space="preserve">26. It is necessary to examine whether the joint acquisition of the target business by La Boîte à Outils and Mr Bricolage is likely to encourage them to coordinate their behavior in the markets where they remain simultaneously present. According to the decision-making practice of the European Commission, adopted by national competition authorities, such a risk is likely when the following three cumulative conditions are met: the risk of coordination must have a direct causal link with the creation of the joint venture, the coordination must be sufficiently plausible, and the coordination must have a significant effect on competition.  </w:t>
        <w:br/>
        <w:t xml:space="preserve">27. In this case, the parent companies are not simultaneously present in the downstream retail distribution market of DIY products around the target store in Remiremont directly affected by the operation, and it is unlikely that the joint acquisition of this business will encourage them to coordinate their behavior in other local markets where they may be simultaneously present.  </w:t>
        <w:br/>
        <w:t xml:space="preserve">28. In the upstream supply markets, the joint acquisition by Mr Bricolage and La Boîte à Outils of the target store through their subsidiary DEDB, an acquisition that adds to one previously made under the same partnership, raises the question of potential coordination of their supply strategies, which could affect the listings of their common suppliers and the negotiating power they have with respect to them.  </w:t>
        <w:br/>
        <w:t>29. In upstream supply markets limited to the purchases of DIY stores, where coordination is most likely since the stores operated in these markets are likely to be in direct competition with each other, the risk of coordination remains a concern.</w:t>
      </w:r>
    </w:p>
    <w:p>
      <w:r>
        <w:rPr>
          <w:b/>
        </w:rPr>
        <w:t>[Pages 7–7]</w:t>
      </w:r>
    </w:p>
    <w:p>
      <w:r>
        <w:t>common to the parties are GSB, the cumulative purchasing share of the parties is below [10-20]% for most of the product categories defined above. It is respectively [10-20]%, [10-20]%, [10-20]%, and [10-20]% for tools, hardware/storage, decoration, and gardening. The increment in purchasing share related to the activities of the SAMSE group is low, below [0-5]% for most markets.</w:t>
      </w:r>
    </w:p>
    <w:p>
      <w:r>
        <w:t>30. If we consider supply markets including the purchasing share of traders, the position of the SAMSE group remains marginal ([0-5]% across all categories) and that of Mr Bricolage, absent from the trading market, is diluted and estimated at [0-5]%, resulting in a cumulative market share of the parties of [5-10]%. Furthermore, the parties argue that there are no synergies between the purchases of GSB and those intended for trading and that within the SAMSE group itself, the purchases made on behalf of retail and for trading activities are neither centralized nor globalized. The parties explain that the trading activity has different supply requirements compared to the retail activity, particularly in terms of volumes, product packaging, delivery modes, and storage.</w:t>
      </w:r>
    </w:p>
    <w:p>
      <w:r>
        <w:t>31. Any potential coordination between Mr Bricolage and La Boîte à Outils for their supplies is therefore unlikely to have a significant effect on competition in these upstream markets.</w:t>
      </w:r>
    </w:p>
    <w:p>
      <w:r>
        <w:t>32. It follows from all of the above that the operation is not likely to harm competition in the relevant markets.</w:t>
      </w:r>
    </w:p>
    <w:p>
      <w:r>
        <w:t>DECIDES</w:t>
        <w:br/>
        <w:t>Sole Article: The operation notified under number 12-114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