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https://www.autoritedelaconcurrence.fr/fr/decision-de-controle-des-concentrations/relative-la-prise-de-controle-conjoint-dun-fonds-de-1</w:t>
      </w:r>
    </w:p>
    <w:p>
      <w:r>
        <w:t>Pages translated : 5</w:t>
      </w:r>
    </w:p>
    <w:p/>
    <w:p>
      <w:r>
        <w:rPr>
          <w:b/>
        </w:rPr>
        <w:t>[Pages 1–3]</w:t>
      </w:r>
    </w:p>
    <w:p>
      <w:r>
        <w:t xml:space="preserve">FRENCH REPUBLIC  </w:t>
        <w:br/>
        <w:t xml:space="preserve">Decision No. 16-DCC-210 of December 9, 2016  </w:t>
        <w:br/>
        <w:t>regarding the joint control of a business operated by the company ATAC by the company Worksea and ITM Enterprises</w:t>
      </w:r>
    </w:p>
    <w:p>
      <w:r>
        <w:t xml:space="preserve">The Competition Authority,  </w:t>
        <w:br/>
        <w:t xml:space="preserve">Having regard to the notification file submitted in full to the concentrations service on November 9, 2016, regarding the joint control of a business operated by the company ATAC by the company Worksea and ITM Enterprises, formalized by a letter of intent dated July 22, 2016;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1. ITM Enterprises, a company 100% controlled by the civil company of the Mousquetaires, itself held by 1,330 individuals known as "associated members," leads and animates the network of independent merchants known as the "Groupement des Mousquetaires." As a franchisor, ITM Enterprises' main activity is to animate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retail outlets. ITM Enterprises also provides its franchisees with various services such as prospecting, consulting, training, etc. Finally, ITM Enterprises offers franchisees the opportunity to benefit from advantageous supply conditions from its national and regional subsidiaries as well as from external suppliers referenced outside the "Groupement des Mousquetaires."</w:t>
      </w:r>
    </w:p>
    <w:p>
      <w:r>
        <w:t xml:space="preserve">2. The company Worksea is the family holding of [confidential]. The company Worksea controls the company Lanrod, which operates a food distribution business under the Intermarché brand in Boën-sur-Lignon (42).  </w:t>
        <w:br/>
        <w:t xml:space="preserve">3. The company ATAC, a subsidiary of the Auchan group, operates food-dominant distribution businesses under the group's brands. The target business is a retail outlet operated by the company ATAC, with an area of 963 m² and located in Boën-sur-Lignon (42).  </w:t>
        <w:br/>
        <w:t xml:space="preserve">4. Upon completion of the transaction, the target business will be operated under the Netto brand by a company created for the purpose of the transaction, whose capital will be entirely held by the company Worksea, except for one preferred share held by ITM Enterprises. The articles of association of the operating company will grant ITM Enterprises the ability to block the change of brand of the target business. ITM Enterprises will also be able to block any transfer of shares and require the partners holding ordinary shares to sell their shares in the event of a change in their control or as soon as they operate a similar business under a competing brand. Furthermore, the Netto brand contract concluded by the company Worksea for the operation of the target business with ITM Enterprises will grant the latter a right of priority in the event of the sale of the business at a price determined by the contract. The realization of the notified project will therefore result in joint control of the target business by the company Worksea and ITM Enterprises and constitutes a concentration within the meaning of Article L. 430-1 of the Commercial Code.  </w:t>
        <w:br/>
        <w:t>5. The concerned companies operate several retail stores and together achieve a total worldwide turnover of more than 75 million euros (ITM Enterprises: […] euros for the fiscal year ending December 31, 2015; Worksea: […] euros for the same fiscal year; target business: […] euros for the same fiscal year). Each generates in France in the retail sector a turnover exceeding 15 million euros (ITM Enterprises: […] euros for the fiscal year ending December 31, 2015; Worksea: […] euros for the same fiscal year). Given these turnover figures, the operation does not fall under the jurisdiction of the European Union. However, the control thresholds related to retail mentioned in point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6. According to the consistent practice of national and European competition authorities, two categories of markets can be delineated in the food-dominant distribution sector. These are, on the one hand, "downstream" markets, of a local dimension, which bring together retail businesses and consumers for the sale of consumer goods and, on the other hand, "upstream" markets for the supply of retail businesses with everyday consumer goods, of a national dimension.</w:t>
      </w:r>
    </w:p>
    <w:p>
      <w:r>
        <w:t xml:space="preserve">A. DOWNSTREAM DISTRIBUTION MARKETS  </w:t>
        <w:br/>
        <w:t xml:space="preserve">1. SERVICE MARKETS  </w:t>
        <w:br/>
        <w:t xml:space="preserve">7. Regarding the retail sale of everyday consumer goods, competition authorities, both European and national,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large discounters, and (vi) mail order sales.  </w:t>
        <w:br/>
        <w:t xml:space="preserve">8. Hypermarkets are usually defined as stores with a food-dominant area of 2,500 m² or more, supermarkets as stores with a food-dominant area of less than 2,500 m² and more than 400 m², and convenience stores as stores with a food-dominant area of less than 400 m² and more than 120 m². However, it should be noted that these thresholds should be used with caution and may be adapted to the specific case, considering that stores whose area is close to a threshold, either below or above, may be in direct competition in practice.  </w:t>
        <w:br/>
        <w:t xml:space="preserve">9. Competition authorities also consider that, while each category of store retains its specificity, there is asymmetric competition between certain of these categories. Indeed, a hypermarket may be commonly used by some consumers as a convenience store, substituting for a supermarket. Conversely, the reverse is almost never verified and is even less so the larger the hypermarket in question. Consequently, if the target store is a hypermarket, the analysis is conducted on a market comprising only hypermarkets, on the one hand, and on a market comprising supermarkets and equivalent forms of commerce (hypermarkets, hard discount, and popular stores) excluding small retail trade (less than 400 m²), on the other hand. If the target store is a supermarket, the analysis is conducted only on the second type of market mentioned above.  </w:t>
        <w:br/>
        <w:t>10. In this case, the business operated by the company ATAC occupies an area of 963 m² and thus falls into the category of supermarkets.</w:t>
      </w:r>
    </w:p>
    <w:p>
      <w:r>
        <w:rPr>
          <w:b/>
        </w:rPr>
        <w:t>[Pages 4–5]</w:t>
      </w:r>
    </w:p>
    <w:p>
      <w:r>
        <w:t>2. GEOGRAPHICAL DELIMITATION</w:t>
        <w:br/>
        <w:t>11. In its recent decisions9 concerning operations involving hypermarkets or supermarkets, the Competition Authority has reiterated that two types of markets are usually distinguished, based on catchment areas:</w:t>
        <w:br/>
        <w:t>- a first market where the demand of consumers from an area meets the supply of hypermarkets accessible to them within less than 30 minutes by car and which are, from their point of view, substitutable with each other;</w:t>
        <w:br/>
        <w:t>- a second market where the demand of consumers meets the supply of supermarkets and equivalent forms of commerce, located within less than 15 minutes by car. These latter forms of commerce may include, in addition to supermarkets, hypermarkets located near consumers and discount stores.</w:t>
      </w:r>
    </w:p>
    <w:p>
      <w:r>
        <w:t>12. Other criteria may nevertheless be taken into account to assess the impact of a concentration on the competitive situation in retail distribution markets, which may lead to refining, in the specific case, the usual delimitations presented above.</w:t>
      </w:r>
    </w:p>
    <w:p>
      <w:r>
        <w:t>13. In the specific case, the target business falls into the category of supermarkets; the competitive analysis will therefore be conducted on a market including supermarkets and equivalent forms of commerce located within a 15-minute radius around the retail outlet in Boën-sur-Lignon (42).</w:t>
      </w:r>
    </w:p>
    <w:p>
      <w:r>
        <w:t>B. UPSTREAM SUPPLY MARKETS</w:t>
        <w:br/>
        <w:t>14. Regarding supply markets, the European Commission10 has recognized the existence of national markets by major product groups, a delimitation followed by national authorities11.</w:t>
      </w:r>
    </w:p>
    <w:p>
      <w:r>
        <w:t>15. There is no need to challenge this delimitation in the context of the present operation.</w:t>
      </w:r>
    </w:p>
    <w:p>
      <w:r>
        <w:t>III. Competitive Analysis</w:t>
        <w:br/>
        <w:t>16. In the market comprising supermarkets and equivalent forms of commerce located within a 15-minute drive around the target store located in Boën-sur-Lignon (42), two supermarkets under the Intermarché brand are present, representing [30-40]% of the retail space. The target store itself represents [10-20]% of the retail space in the area. Following the operation, the total market share of the ITM group will therefore rise to [40-50]% of the retail space in the area.</w:t>
      </w:r>
    </w:p>
    <w:p>
      <w:r>
        <w:t>9 Decisions 09-DCC-24 of July 23, 2009 Floritine/C.S.F; 09-DCC- of May 28, 2009 Frandis/Financière Perdis; 09-DCC-06 of May 20, 2009 Evolis/ITM; 09-DCC-04 of April 29, 2009 Carrefour/Noukat,</w:t>
      </w:r>
    </w:p>
    <w:p>
      <w:r>
        <w:t>10 See the Commission decisions M.1684 Carrefour/Promodès of January 25, 2000 and M. 2115 Carrefour/GB of September 28, 2000.</w:t>
      </w:r>
    </w:p>
    <w:p>
      <w:r>
        <w:t>11 See in particular the decisions of the minister in the sector, C2005-98, Carrefour/Penny Market of November 10, 2005, C2006-15 Carrefour/Groupe Hamon of April 14, 2006, C2007-172 concerning the creation of the joint venture Plamidis of February 13, 2008, and C2008-32 Carrefour/SAGC of July 9, 2008.</w:t>
      </w:r>
    </w:p>
    <w:p>
      <w:r>
        <w:t>17. Nevertheless, in this area, the parties will face two competing distribution groups holding together more than half of the retail outlets present in the area: Casino ([30-40]% market share with three stores including one Leader Price) and Aldi ([5-10]% market share). In particular, the parties will face competition from two Casino supermarkets ([10-20]% and [10-20]% of retail space).</w:t>
      </w:r>
    </w:p>
    <w:p>
      <w:r>
        <w:t>18. In the upstream supply markets, the operation, which only concerns the change of control of one store, is not likely to significantly strengthen the purchasing power of the ITM Entreprises group, across all products as well as by major product groups.</w:t>
      </w:r>
    </w:p>
    <w:p>
      <w:r>
        <w:t>19. Therefore, the operation is not likely to harm competition in the markets concerned.</w:t>
      </w:r>
    </w:p>
    <w:p>
      <w:r>
        <w:t>DECIDES</w:t>
        <w:br/>
        <w:t>Sole Article: The operation notified under number 16-243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