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https://www.autoritedelaconcurrence.fr/fr/decision-de-controle-des-concentrations/relative-la-prise-de-controle-conjoint-dun-fonds-de-10</w:t>
      </w:r>
    </w:p>
    <w:p>
      <w:r>
        <w:t>Pages translated : 7</w:t>
      </w:r>
    </w:p>
    <w:p/>
    <w:p>
      <w:r>
        <w:rPr>
          <w:b/>
        </w:rPr>
        <w:t>[Pages 1–3]</w:t>
      </w:r>
    </w:p>
    <w:p>
      <w:r>
        <w:t xml:space="preserve">FRENCH REPUBLIC  </w:t>
        <w:br/>
        <w:t xml:space="preserve">Decision No. 19-DCC-117 of June 21, 2019  </w:t>
        <w:br/>
        <w:t xml:space="preserve">regarding the joint control of a retail business with a food dominance by the company Oxydis alongside the Association of E. Leclerc Distributor Centers  </w:t>
        <w:br/>
        <w:t xml:space="preserve">The Competition Authority,  </w:t>
        <w:br/>
        <w:t xml:space="preserve">Having regard to the notification file submitted in full to the merger service on May 17, 2019 regarding the joint control of a retail business with a food dominance by the company Oxydis alongside the Association of E. Leclerc Distributor Centers, formalized by a purchase promise for the business dated April 8, 2019 concluded between the company Socamil and the company Distribution Casino France and by the substitution declaration dated April 16, 2019 by which the company Oxydis substitutes itself for the company Socamil;  </w:t>
        <w:br/>
        <w:t xml:space="preserve">Having regard to Book IV of the Commercial Code relating to price freedom and competition, and in particular its Articles L. 430-1 to L. 430-7;  </w:t>
        <w:br/>
        <w:t xml:space="preserve">Having regard to the supplementary elements transmitted by the notifying parties during the investigation;  </w:t>
        <w:br/>
        <w:t xml:space="preserve">Adopts the following decision:  </w:t>
        <w:br/>
        <w:t xml:space="preserve">I. The concerned companies and the operation  </w:t>
        <w:br/>
        <w:t xml:space="preserve">A. THE CONCERNED COMPANIES  </w:t>
        <w:br/>
        <w:t xml:space="preserve">1. THE ACQUIRERS AND THE TARGET  </w:t>
        <w:br/>
        <w:t>1. The company Oxydis (hereinafter "Oxydis") is a simplified joint-stock company, created for the needs of the operation, whose purpose is the operation of a retail commercial establishment. It is controlled by Mr. Boissonade, who also operates a hypermarket under the E. Leclerc brand, located in Carcassonne (11).</w:t>
      </w:r>
    </w:p>
    <w:p>
      <w:r>
        <w:t>2. The Association of E. Leclerc Distributor Centers (hereinafter, the "ACDLec") is the body that defines the strategy of the E. Leclerc movement, to which all individuals who manage E. Leclerc store operating companies are members. The ACDLec notably determines the conditions for approval to the E. Leclerc movement and signs the brand contracts (or "signboard contracts") that must be held by the operators of E. Leclerc retail stores.</w:t>
      </w:r>
    </w:p>
    <w:p>
      <w:r>
        <w:t xml:space="preserve">3. The target store is a hypermarket operated under the Géant Casino brand, located in Carcassonne (11) with a sales area of 4,725m², owned by the company Distribution Casino France (hereinafter, "DCF"), a subsidiary of the company Casino Guichard-Perrachon.  </w:t>
        <w:br/>
        <w:t xml:space="preserve">2. CONTROL OF THE CONCERNED ENTITIES  </w:t>
        <w:br/>
        <w:t>4. It is argued in the notification file of the operation that the ACDLec does not exercise any control over Oxydis and will not exercise any control over the target store after the operation. According to the notifying parties, the latter would therefore be exclusively controlled by Mr. Boissonade and the notified operation would consist of the exclusive control of the target store by Mr. Boissonade, through Oxydis.</w:t>
      </w:r>
    </w:p>
    <w:p>
      <w:r>
        <w:t xml:space="preserve">5. Nevertheless, at the end of the operation, the target business will be held by Oxydis, which is jointly controlled, within the meaning of competition law, by the ACDLec and Mr. Boissonade. Indeed, as the Competition Authority has noted in previous decisions1, the obligations that the ACDLec imposes on the operating companies of E. Leclerc stores, such as Oxydis, allow it to exercise a decisive influence over them. This analysis of the decisive influence exercised by the ACDLec is transposable to the present operation, in light of the contractual documents binding Oxydis to the ACDLec2.  </w:t>
        <w:br/>
        <w:t xml:space="preserve">B. THE OPERATION  </w:t>
        <w:br/>
        <w:t xml:space="preserve">6. The operation, formalized by a purchase promise for the business dated April 8, 2019 between the company Socamil and DCF, as well as by the substitution declaration dated April 16, 2019 by which Oxydis substitutes itself for the company Socamil, consists of the acquisition by Oxydis of the hypermarket under the Géant Casino brand located at 2, avenue du Souvenir Français, in Carcassonne (11). Oxydis, created for the needs of the operation, is a simplified joint-stock company in accordance with the E. Leclerc model statutes, a member of the ACDLec and intended to hold an E. Leclerc signboard contract through Mr. Boissonade3. The purchasing center of the E. Leclerc distributor centers Socamil, the operating companies Saint Aunes, So.Di.Gar, Gaillac Distribution, Sodimaz,  </w:t>
        <w:br/>
        <w:t xml:space="preserve">1 See the decisions of the Competition Authority No. 16-DCC-211 of December 13, 2016 regarding the joint control of a business of the company Sodix by the ACDLec alongside the company Lacdis, No. 19-DCC-63 of April 9, 2019 regarding the joint control of a retail business with a food dominance by the company Thegadis alongside the Association of E. Leclerc Distributor Centers and No. 19-DCC-105 of May 24, 2019 regarding the joint control of a retail business with a food dominance by the company Saint-Grégoire Distribution alongside the Association of E. Leclerc Distributor Centers.  </w:t>
        <w:br/>
        <w:t xml:space="preserve">2 See paragraphs 6 to 17 of decision No. 19-DCC-63 of April 9, 2019 regarding the joint control of a retail business with a food dominance by the company Thegadis alongside the Association of E. Leclerc Distributor Centers.  </w:t>
        <w:br/>
        <w:t>3 Mr. Boissonade holds a signboard contract mentioning the operation of the company TLPM, concluded on December 19, 2017. Although the existing signboard contract does not mention the operation of Oxydis, there is no doubt that the company Oxydis is intended to be affiliated with the E. Leclerc Movement and to appear in the future on the E. Leclerc signboard contract.</w:t>
      </w:r>
    </w:p>
    <w:p>
      <w:r>
        <w:t>Lecadis and Mr. Parnot, each holding a stake in the capital of the company Oxydis, several of which are under the sponsorship described in points 9 and 10 of the aforementioned decision No. 19-DCC-63, which also apply to the present situation, the ACDLec will be able to exercise joint control over the new company.</w:t>
      </w:r>
    </w:p>
    <w:p>
      <w:r>
        <w:t>7. As it results in the joint control of the target store by Oxydis alongside ACDLec, the operation constitutes a concentration within the meaning of Article L. 430-1 of the Commercial Code.</w:t>
      </w:r>
    </w:p>
    <w:p>
      <w:r>
        <w:t xml:space="preserve">8. The companies concerned operate retail stores and together achieve a total worldwide turnover excluding taxes of more than 75 million euros (E. Leclerc movement: [≥ 75 million] euros for the fiscal year ended December 31, 20184; Mr. Boissonade: [≥ 75 million] euros for the fiscal year ended September 30, 2018; the target store: [≤ 75 million] euros for the fiscal year ended December 31, 2017). At least two of these companies achieve in France a turnover exceeding 15 million euros in the retail sector (E. Leclerc movement: [≥ 15 million] euros for the fiscal year ended December 31, 20185; Mr. Boissonade: [≥ 15 million] euros for the fiscal year ended September 30, 2018; the target store: [≥ 15 million] euros for the fiscal year ended December 31, 2017). Given these turnover figures,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concentrations.  </w:t>
        <w:br/>
        <w:t xml:space="preserve">II. Delimitation of the relevant markets  </w:t>
        <w:br/>
        <w:t xml:space="preserve">A. THE UPSTREAM SUPPLY MARKETS  </w:t>
        <w:br/>
        <w:t xml:space="preserve">1. PRODUCT MARKETS  </w:t>
        <w:br/>
        <w:t xml:space="preserve">9. Regarding the supply markets, the European Commission6 has recognized the existence of markets of national dimension by major product groups, a delimitation followed by national authorities7.  </w:t>
        <w:br/>
        <w:t xml:space="preserve">10. There is no reason to challenge this delimitation on the occasion of the present operation.  </w:t>
        <w:br/>
        <w:t xml:space="preserve">4 The ACDLec exercising joint control over certain stores under the E. Leclerc brand, 50% of the turnover of the stores has been attributed to the ACDLec for the purposes of calculating turnover, in accordance with the provisions of paragraphs 186 and 187 of the consolidated communication of the European Commission.  </w:t>
        <w:br/>
        <w:t xml:space="preserve">5 The ACDLec exercising joint control over certain stores under the E. Leclerc brand, 50% of the turnover of the stores has been attributed to the ACDLec for the purposes of calculating turnover, in accordance with the provisions of paragraphs 186 and 187 of the consolidated communication of the European Commission.  </w:t>
        <w:br/>
        <w:t xml:space="preserve">6 See, for example, the decisions of the European Commission M.1684 of January 25, 2000 Carrefour / Promodès and M.2115 of September 28, 2000 Carrefour / GB.  </w:t>
        <w:br/>
        <w:t>7 See in particular the decisions of the minister in the retail sector with a food dominance: C2005-98 Carrefour/Penny Market of November 10, 2005, C2006-15 Carrefour/Groupe Hamon of April 14, 2006, C2007-172 regarding the creation of the joint venture Plamidis of February 13, 2008 and C2008-32 Carrefour/SAGC of July 9, 2008, as well as decisions No. 16-DCC-53 and No. 16-DCC-211 mentioned above.</w:t>
      </w:r>
    </w:p>
    <w:p>
      <w:r>
        <w:rPr>
          <w:b/>
        </w:rPr>
        <w:t>[Pages 4–6]</w:t>
      </w:r>
    </w:p>
    <w:p>
      <w:r>
        <w:t xml:space="preserve">2. GEOGRAPHIC MARKETS  </w:t>
        <w:br/>
        <w:t xml:space="preserve">11. From a geographic perspective, the consistent decision-making practice of competition authorities considers that supply markets are of national dimension8.  </w:t>
        <w:br/>
        <w:t xml:space="preserve">12. There is no reason to challenge the decision-making practice on the occasion of the present operation.  </w:t>
        <w:br/>
        <w:t xml:space="preserve">B. DOWNSTREAM MARKETS OF RETAIL DISTRIBUTION WITH A FOOD DOMINANCE  </w:t>
        <w:br/>
        <w:t xml:space="preserve">1. PRODUCT MARKETS  </w:t>
        <w:br/>
        <w:t xml:space="preserve">13. Regarding the retail sale of everyday consumer goods, the decision-making practice9 distinguishes six categories of retail trade of everyday consumer goods, using several criteria, including the size of the stores, their sales techniques, their accessibility, the nature of the service provided, and the extent of the product ranges offered: (i) hypermarkets (stores with a food dominance with a legal sales area greater than 2,500 m²), (ii) supermarkets (between 400 and 2,500 m²), (iii) specialized trade, (iv) small retail trade (less than 400 m²), (v) maxi-discounters, (vi) mail order. However, the decision-making practice specifies that the size thresholds should be used with caution and may be adapted to the specific case, as stores whose area is close to a threshold, either below or above, may find themselves in direct competition with stores of another category.  </w:t>
        <w:br/>
        <w:t xml:space="preserve">14. Competition authorities consider that, while each category of store retains its specificity, there is asymmetric competition between certain of these categories. For the province, they thus distinguish10: (i) a market comprising only hypermarkets, and (ii) a market comprising supermarkets and equivalent forms of trade (hypermarkets, hard-discount, and popular stores) excluding small retail trade (less than 400 m²).  </w:t>
        <w:br/>
        <w:t xml:space="preserve">15. In this case, the target point of sale operated by DCF under the Géant Casino brand has a sales area of 4,725 m² and thus falls into the category of hypermarkets. The operation will therefore be analyzed in the hypermarket market.  </w:t>
        <w:br/>
        <w:t xml:space="preserve">2. GEOGRAPHIC MARKETS  </w:t>
        <w:br/>
        <w:t xml:space="preserve">16. Competition authorities have examined the effects of concentrations in the food-dominant retail sector at the local level, corresponding to the catchment area associated with each store, the extent of which depends on the travel time for the consumer.  </w:t>
        <w:br/>
        <w:t xml:space="preserve">17. The Competition Authority emphasized that, for stores with an area greater than 2,500 m², the conditions of competition are assessed in two different areas:  </w:t>
        <w:br/>
        <w:t xml:space="preserve">- a first market where the demand from consumers in an area meets the supply of hypermarkets that they can access within less than 30 minutes of driving and which are, from their perspective, substitutable with each other;  </w:t>
        <w:br/>
        <w:t xml:space="preserve">8 See in particular decisions COMP/M.1684, COMP/M.4096, no. 16-DCC-53 and no. 16-DCC-211 mentioned above.  </w:t>
        <w:br/>
        <w:t xml:space="preserve">9 See, for example, decisions no. 16-DCC-211, no. 19-DCC-63 and no. 19-DCC-105 mentioned above.  </w:t>
        <w:br/>
        <w:t xml:space="preserve">10 Id.  </w:t>
        <w:br/>
        <w:t xml:space="preserve">4  </w:t>
        <w:br/>
        <w:t xml:space="preserve">- and a second market where the demand from consumers meets the supply of supermarkets and equivalent forms of trade located within less than 15 minutes of driving time. These latter forms of trade may include, in addition to supermarkets, hypermarkets located close to consumers and discount stores11.  </w:t>
        <w:br/>
        <w:t xml:space="preserve">18. The Authority, however, consistently specifies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19. In this case, the target business falling into the category of hypermarkets, the competitive analysis will be conducted on the one hand, in the market including only hypermarkets within a 30-minute radius and, on the other hand, in the market including hypermarkets, supermarkets, and equivalent forms of trade located within a 15-minute driving time around the target business.  </w:t>
        <w:br/>
        <w:t xml:space="preserve">III. Competitive Analysis  </w:t>
        <w:br/>
        <w:t xml:space="preserve">A. UPSTREAM SUPPLY MARKETS  </w:t>
        <w:br/>
        <w:t xml:space="preserve">20. Regarding the upstream supply markets, the operation concerns only one store whose total purchases represent a marginal share of the supply market12.  </w:t>
        <w:br/>
        <w:t xml:space="preserve">21. The purchasing power of the E. Leclerc movement is therefore not likely to be strengthened, across all products as well as by product categories, as a result of the operation.  </w:t>
        <w:br/>
        <w:t xml:space="preserve">B. DOWNSTREAM DISTRIBUTION MARKETS  </w:t>
        <w:br/>
        <w:t xml:space="preserve">22. In the market comprising hypermarkets located in an area corresponding to a travel time of 30 minutes from the target store, the latter represents [10-20]% of the sales areas and hypermarkets under the E. Leclerc brand represent [30-40]%, resulting in an estimated cumulative market share of [50-60]%. Following the operation, stores under the E. Leclerc brand will face competition from hypermarkets operated under two independent brands: Carrefour ([20-30]%) and Casino ([20-30]%).  </w:t>
        <w:br/>
        <w:t xml:space="preserve">23. The cumulative market share of the parties is therefore greater than 50%. The presumption of the existence of a restrictive competitive market power conferred on an operator, when such a market share threshold is exceeded, is, however, rebuttable, as the aforementioned guidelines remind13.  </w:t>
        <w:br/>
        <w:t xml:space="preserve">24. In this case, the closest competitor to the target store is a Carrefour store of 6,500 m², located 6 minutes by car from the target store. Another hypermarket under the Casino brand, with an area of 6,606 m², is located 12 minutes from the target store. These two competitors are of sufficient size to exert strong competitive pressure on the target store. Any unilateral price increase or any reduction in the quality of services offered to consumers is likely to result in a shift in demand towards these two competitors.  </w:t>
        <w:br/>
        <w:t xml:space="preserve">25. Furthermore, in this market, the Authority notes that the operation does not result in a decrease in the number of brands, with consumers continuing to benefit from three competing brands: E. Leclerc, Carrefour, and Casino.  </w:t>
        <w:br/>
        <w:t xml:space="preserve">26. In the market comprising supermarkets and equivalent forms of trade located within a 15-minute driving time around the target store, the latter represents [10-20]% of the sales areas and stores under the E. Leclerc brand represent [10-20]%, resulting in an estimated cumulative market share of [20-30]%. Following the operation, stores under the E. Leclerc brand will face competition from numerous points of sale operated under six independent brands: Casino ([20-30]%), Carrefour ([20-30]%), Intermarché ([10-20]%), Lidl ([5-10]%), Système U ([5-10]%), and Aldi ([0-5]%).  </w:t>
        <w:br/>
        <w:t xml:space="preserve">27. It follows from the above that the operation is not likely to harm competition in the downstream distribution markets.  </w:t>
        <w:br/>
        <w:t xml:space="preserve">13 Guidelines of the Competition Authority, paragraph 397.  </w:t>
        <w:br/>
        <w:t>6</w:t>
      </w:r>
    </w:p>
    <w:p>
      <w:r>
        <w:rPr>
          <w:b/>
        </w:rPr>
        <w:t>[Pages 7–7]</w:t>
      </w:r>
    </w:p>
    <w:p>
      <w:r>
        <w:t xml:space="preserve">DECIDES  </w:t>
        <w:br/>
        <w:t xml:space="preserve">Sole Article: The operation notified under number 19-126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