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https://www.autoritedelaconcurrence.fr/fr/decision-de-controle-des-concentrations/relative-la-prise-de-controle-conjoint-dun-fonds-de-13</w:t>
      </w:r>
    </w:p>
    <w:p>
      <w:r>
        <w:t>Pages translated : 7</w:t>
      </w:r>
    </w:p>
    <w:p/>
    <w:p>
      <w:r>
        <w:rPr>
          <w:b/>
        </w:rPr>
        <w:t>[Pages 1–3]</w:t>
      </w:r>
    </w:p>
    <w:p>
      <w:r>
        <w:t xml:space="preserve">FRENCH REPUBLIC  </w:t>
        <w:br/>
        <w:t xml:space="preserve">Decision No. 19-DCC-95 of May 16, 2019  </w:t>
        <w:br/>
        <w:t xml:space="preserve">regarding the joint control of a retail business predominantly focused on food by the company Maryadis alongside the Association of E. Leclerc Distributor Centers  </w:t>
        <w:br/>
        <w:t xml:space="preserve">The Competition Authority,  </w:t>
        <w:br/>
        <w:t xml:space="preserve">Having regard to the notification file sent to the merger service on February 14, 2019, and declared complete on April 8, 2019, regarding the joint control of a retail business predominantly focused on food by the company Maryadis alongside the Association of E. Leclerc Distributor Centers, formalized by a promise to purchase the business dated January 15, 2019, concluded between the company Scaouest and the company Distribution Casino France and by a reciprocal promise of share transfer dated [confidential] between the company Scaouest and the company Maryadis;  </w:t>
        <w:br/>
        <w:t xml:space="preserve">Having regard to Book IV of the Commercial Code relating to the freedom of prices and competition, and in particular its Articles L. 430-1 to L. 430-7;  </w:t>
        <w:br/>
        <w:t xml:space="preserve">Having regard to the supplementary elements transmitted by the notifying parties during the investigation;  </w:t>
        <w:br/>
        <w:t xml:space="preserve">Adopts the following decision:  </w:t>
        <w:br/>
        <w:t xml:space="preserve">I. The concerned companies and the operation  </w:t>
        <w:br/>
        <w:t xml:space="preserve">A. THE CONCERNED COMPANIES  </w:t>
        <w:br/>
        <w:t xml:space="preserve">1. THE ACQUIRERS AND THE TARGET  </w:t>
        <w:br/>
        <w:t xml:space="preserve">1. The company Ja-Dis (hereinafter "Ja-Dis") is a simplified joint-stock company, created for the needs of the operation, whose purpose is the operation of a retail commercial establishment. It is controlled by the company Scaouest.  </w:t>
        <w:br/>
        <w:t>2. The company Maryadis (hereinafter "Maryadis") is a holding company, controlled by Mr. Jadeau, which operates a hypermarket under the E. Leclerc brand, located in Bressuire (79).</w:t>
      </w:r>
    </w:p>
    <w:p>
      <w:r>
        <w:t xml:space="preserve">3. The Association of E. Leclerc Distributor Centers (hereinafter, the "ACDLec") is the body that defines the strategy of the E. Leclerc movement, to which all individuals who manage E. Leclerc store operating companies are members. The ACDLec notably determines the conditions for approval to the E. Leclerc movement and signs the brand (or "signboard") contracts that must be held by the operators of E. Leclerc retail stores.  </w:t>
        <w:br/>
        <w:t xml:space="preserve">4. The target store is a hypermarket operated under the Géant Casino brand, located in Cholet (49), with a sales area of 7,370 m², owned by the company Distribution Casino France (hereinafter, "DCF"), a subsidiary of the company Casino Guichard-Perrachon.  </w:t>
        <w:br/>
        <w:t xml:space="preserve">2. CONTROL OF THE ENTITIES CONCERNED  </w:t>
        <w:br/>
        <w:t xml:space="preserve">5. It is argued in the notification file of the operation that the ACDLec does not exercise any control over Maryadis and will not exercise any control over the target store after the operation. According to the notifying parties, the latter would therefore be exclusively controlled by Mr. Jadeau and the notified operation would consist of the exclusive control of the target store by Mr. Jadeau, through Maryadis.  </w:t>
        <w:br/>
        <w:t xml:space="preserve">6. Nevertheless, at the end of the operation, the target business will be held by Maryadis, which is jointly controlled, in the sense of merger law, by the ACDLec and Mr. Jadeau. Indeed, as the Competition Authority has noted in previous decisions1, the obligations that the ACDLec imposes on the operating companies of E. Leclerc stores, such as Maryadis, allow it to exert a decisive influence over them. This analysis of the decisive influence exerted by the ACDLec is transposable to the present operation, in view of the contractual documents binding Maryadis to the ACDLec2.  </w:t>
        <w:br/>
        <w:t xml:space="preserve">B. THE OPERATION  </w:t>
        <w:br/>
        <w:t xml:space="preserve">7. The contemplated operation consists of two successive phases and is formalized by a promise to purchase the business dated January 15, 2019, between the company Scaouest and DCF, as well as by a reciprocal promise of share transfer dated May 10, 2019, between the company Scaouest and the company Maryadis.  </w:t>
        <w:br/>
        <w:t xml:space="preserve">8. In the first phase, the company Scaouest will take exclusive control of the target point of sale through the company Ja-Dis, of which it holds 100% of the capital.  </w:t>
        <w:br/>
        <w:t xml:space="preserve">9. In the second phase, the company Maryadis will acquire joint control of the company Ja-Dis, alongside the ACDLec, no later than August 31, 2019.  </w:t>
        <w:br/>
        <w:t xml:space="preserve">10. A concentration operation is deemed to be realized only if it results in a lasting change in the control of the concerned company. In this case, the transitional nature of the exclusive control by the company Scaouest of the target point of sale is agreed by the parties in a legally binding manner from the first phase.  </w:t>
        <w:br/>
        <w:t xml:space="preserve">11. The operation therefore consists of the acquisition by Maryadis of the hypermarket under the Géant Casino brand located on Avenue des Sables, in Cholet (49). Maryadis is a simplified joint-stock company with statutes conforming to the E. Leclerc standard statutes, a member of the ACDLec, and intended to hold an E. Leclerc signboard contract through Mr. Jadeau3. The purchasing center of E. Leclerc distributor centers Scaouest, the operating companies Dacar, PSV Distribution, Sodivardière, Sodiroche, Sodilonne, Sodirennes, Fougères Distribution, Pays de Redon Distribution, Sodijour, and Mr. Chartier, will each hold one share in the capital of the company Ja-Dis, under the sponsorship described in points 9 and 10 of the aforementioned decision No. 19-DCC-63, which also applies to the present situation. The ACDLec will be able to exercise joint control over the new company.  </w:t>
        <w:br/>
        <w:t xml:space="preserve">12. Insofar as it results in the joint control of the target store by Maryadis alongside the ACDLec, the operation constitutes a concentration within the meaning of Article L. 430-1 of the Commercial Code.  </w:t>
        <w:br/>
        <w:t xml:space="preserve">13. The concerned companies operate retail stores and together achieve a total worldwide turnover excluding taxes of more than 75 million euros (E. Leclerc movement: 24 billion euros for the fiscal year ending December 31, 20184; Mr. Jadeau: 64.3 million euros for the fiscal year ending June 30, 2018; the target store: 21.9 million euros for the fiscal year ending December 31, 2017). At least two of these companies achieve a turnover in France exceeding 15 million euros in the retail sector (E. Leclerc movement: 23 billion euros for the fiscal year ending December 31, 20185; Mr. Jadeau: 64.3 million euros for the fiscal year ending June 30, 2018; the target store: 21.9 million euros for the fiscal year ending December 31, 2017). Given these turnover figures, the operation does not fall under the jurisdiction of the European Union. On the other hand, the control thresholds related to retail mentioned in II of Article L. 430-2 of the Commercial Code are exceeded. This operation is therefore subject to the provisions of Articles L. 430-3 and following of the Commercial Code relating to economic concentrations.  </w:t>
        <w:br/>
        <w:t xml:space="preserve">3 Mr. Jadeau holds a signboard contract mentioning the operation of the company Bocage Distribution, concluded on June 7, 2017. Although the existing signboard contract does not mention the operation of the point of sale in Cholet, there is no doubt that the company Ja-Dis is intended to be affiliated with the E. Leclerc Movement and to appear in the future on the E. Leclerc signboard contract.  </w:t>
        <w:br/>
        <w:t xml:space="preserve">4 The ACDLec exercising joint control over certain stores under the E. Leclerc brand, 50% of the turnover of the stores has been attributed to the ACDLec for the purposes of calculating turnover, in accordance with the provisions of paragraphs 186 and 187 of the consolidated communication of the European Commission.  </w:t>
        <w:br/>
        <w:t>5 The ACDLec exercising joint control over certain stores under the E. Leclerc brand, 50% of the turnover of the stores has been attributed to the ACDLec for the purposes of calculating turnover, in accordance with the provisions of paragraphs 186 and 187 of the consolidated communication of the European Commission.</w:t>
      </w:r>
    </w:p>
    <w:p>
      <w:r>
        <w:rPr>
          <w:b/>
        </w:rPr>
        <w:t>[Pages 4–6]</w:t>
      </w:r>
    </w:p>
    <w:p>
      <w:r>
        <w:t xml:space="preserve">II. Delimitation of Relevant Markets  </w:t>
        <w:br/>
        <w:t xml:space="preserve">A. UPSTREAM SUPPLY MARKETS  </w:t>
        <w:br/>
        <w:t xml:space="preserve">1. PRODUCT MARKETS  </w:t>
        <w:br/>
        <w:t xml:space="preserve">14. Regarding supply markets, the European Commission6 has identified the existence of markets of national dimension by major product groups, a delimitation followed by national authorities7.  </w:t>
        <w:br/>
        <w:t xml:space="preserve">15. There is no reason to challenge this delimitation on the occasion of the present operation.  </w:t>
        <w:br/>
        <w:t xml:space="preserve">2. GEOGRAPHIC MARKETS  </w:t>
        <w:br/>
        <w:t xml:space="preserve">16. From a geographic standpoint, the consistent decision-making practice of competition authorities considers that supply markets are of national dimension8.  </w:t>
        <w:br/>
        <w:t xml:space="preserve">17. There is no reason to challenge this delimitation on the occasion of the present operation.  </w:t>
        <w:br/>
        <w:t xml:space="preserve">B. DOWNSTREAM RETAIL DISTRIBUTION MARKETS DOMINATED BY FOOD  </w:t>
        <w:br/>
        <w:t xml:space="preserve">1. PRODUCT MARKETS  </w:t>
        <w:br/>
        <w:t xml:space="preserve">18. Regarding the retail sale of everyday consumer goods, the decision-making practice9 distinguishes six categories of retail trade of everyday consumer goods, using several criteria, including store size, sales techniques, accessibility, the nature of the service provided, and the range of products offered: (i) hypermarkets (stores with a food predominance with a legal sales area greater than 2,500 m²), (ii) supermarkets (between 400 and 2,500 m²), (iii) specialized trade, (iv) small retail trade (less than 400 m²), (v) maxi-discount stores, (vi) mail order sales. However, the decision-making practice specifies that the size thresholds should be used with caution and may be adapted to the specific case, as stores whose size is close to a threshold, either below or above, may be in direct competition with stores of another category.  </w:t>
        <w:br/>
        <w:t xml:space="preserve">19. Competition authorities consider that, while each category of store retains its specificity, there is asymmetric competition between certain of these categories. For the province, they thus distinguish10: (i) a market comprising only hypermarkets, and (ii) a market comprising supermarkets and equivalent forms of trade (hypermarkets, hard-discount, and popular stores) excluding small retail trade (less than 400 m²).  </w:t>
        <w:br/>
        <w:t xml:space="preserve">20. In this case, the target point of sale operated by DCF under the Géant Casino brand has a sales area of 7,370 m² and falls into the category of hypermarkets. The operation will therefore be analyzed in the hypermarket market.  </w:t>
        <w:br/>
        <w:t xml:space="preserve">2. GEOGRAPHIC MARKETS  </w:t>
        <w:br/>
        <w:t xml:space="preserve">21. Competition authorities have examined the effects of concentrations in the food-dominated retail distribution sector at the local level, corresponding to the catchment area associated with each store, the extent of which depends on the travel time for the consumer.  </w:t>
        <w:br/>
        <w:t xml:space="preserve">22. The Competition Authority has emphasized that, for stores with a surface area greater than 2,500 m², the conditions of competition are assessed in two different areas:  </w:t>
        <w:br/>
        <w:t xml:space="preserve">- a first market where the demand from consumers in one area meets the supply of hypermarkets that they can access within 30 minutes of driving and which are, from their perspective, substitutable for each other;  </w:t>
        <w:br/>
        <w:t xml:space="preserve">- and a second market where the demand from consumers meets the supply of supermarkets and equivalent forms of trade located within 15 minutes of driving time. These latter forms of trade may include, in addition to supermarkets, hypermarkets located close to consumers and discount stores11.  </w:t>
        <w:br/>
        <w:t xml:space="preserve">23. The Authority consistently specifies, however, that these delimitations are subject to change on a case-by-case basis, depending on the characteristics of the local area, as other criteria may be taken into account to assess the impact of a concentration on the competitive situation in retail distribution markets, which may lead to refining, in the specific case, the usual delimitations presented above.  </w:t>
        <w:br/>
        <w:t xml:space="preserve">24. In this instance, the target business falling into the category of hypermarkets, the competitive analysis will be conducted, on the one hand, on the market including only hypermarkets within a 30-minute radius and, on the other hand, on the market including hypermarkets, supermarkets, and equivalent forms of trade located within a 15-minute driving time around the target business.  </w:t>
        <w:br/>
        <w:t xml:space="preserve">III. Competitive Analysis  </w:t>
        <w:br/>
        <w:t xml:space="preserve">A. UPSTREAM SUPPLY MARKETS  </w:t>
        <w:br/>
        <w:t xml:space="preserve">25. Regarding the upstream supply markets, the operation concerns only one store whose total purchases represent a marginal share of the supply market12. The purchasing power of the E. Leclerc movement is therefore not likely to be strengthened, across all products as well as by product categories, as a result of the operation.  </w:t>
        <w:br/>
        <w:t xml:space="preserve">B. DOWNSTREAM DISTRIBUTION MARKETS  </w:t>
        <w:br/>
        <w:t xml:space="preserve">26. In the market comprising hypermarkets located in an area corresponding to a 30-minute travel time around the Cholet hypermarket, the target store represents 10.9% of the sales areas, and the hypermarkets of the same brand present in the area before the operation represent 18.3%, resulting in an estimated cumulative market share of 29.2%. E. Leclerc branded stores will face competition from three competing brands: Système U (43.3%), Intermarché (16.4%), and Carrefour (11.1%).  </w:t>
        <w:br/>
        <w:t xml:space="preserve">27. In the market comprising supermarkets and equivalent forms of trade located within a 15-minute driving distance around the Cholet hypermarket, the target store represents 18.1% of the sales areas, and the stores of the same brand present before the operation in the area represent 7.3%, resulting in an estimated cumulative market share of 25.4%. E. Leclerc branded stores will face competition from six competing brands, particularly Système U (24.8%), Carrefour (22%), Intermarché (18.4%), and Lidl (5.9%).  </w:t>
        <w:br/>
        <w:t>28. Consequently, the operation is not likely to harm competition either in the downstream distribution markets or in the upstream supply markets.</w:t>
      </w:r>
    </w:p>
    <w:p>
      <w:r>
        <w:rPr>
          <w:b/>
        </w:rPr>
        <w:t>[Pages 7–7]</w:t>
      </w:r>
    </w:p>
    <w:p>
      <w:r>
        <w:t xml:space="preserve">DECIDES  </w:t>
        <w:br/>
        <w:t xml:space="preserve">Single Article: The operation notified under number 19-042 is authorized.  </w:t>
        <w:br/>
        <w:t xml:space="preserve">The Vice-President,  </w:t>
        <w:br/>
        <w:t xml:space="preserve">Irène Luc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