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https://www.autoritedelaconcurrence.fr/fr/decision-de-controle-des-concentrations/relative-la-prise-de-controle-conjoint-dun-fonds-de-15</w:t>
      </w:r>
    </w:p>
    <w:p>
      <w:r>
        <w:t>Pages translated : 9</w:t>
      </w:r>
    </w:p>
    <w:p/>
    <w:p>
      <w:r>
        <w:rPr>
          <w:b/>
        </w:rPr>
        <w:t>[Pages 1–3]</w:t>
      </w:r>
    </w:p>
    <w:p>
      <w:r>
        <w:t xml:space="preserve">FRENCH REPUBLIC  </w:t>
        <w:br/>
        <w:t xml:space="preserve">Decision No. 19-DCC-63 of April 9, 2019  </w:t>
        <w:br/>
        <w:t xml:space="preserve">regarding the joint control of a retail business predominantly focused on food by the company Thegadis alongside the Association of E. Leclerc Distributor Centers  </w:t>
        <w:br/>
        <w:t xml:space="preserve">The Competition Authority,  </w:t>
        <w:br/>
        <w:t xml:space="preserve">Having regard to the notification file, submitted in full to the merger service on March 5, 2019, regarding the joint control of a retail business predominantly focused on food by the company Thegadis alongside the Association of E. Leclerc Distributor Centers, formalized by a promise to purchase the business dated January 16, 2019 concluded between the company Scalandes and the company Distribution Casino France, and by a declaration dated March 12, 2019 by which the company Thegadis replaces the company Scalandes;  </w:t>
        <w:br/>
        <w:t xml:space="preserve">Having regard to Book IV of the Commercial Code relating to the freedom of prices and competition, and in particular its Articles L. 430-1 to L. 430-7;  </w:t>
        <w:br/>
        <w:t xml:space="preserve">Having regard to the supplementary elements transmitted by the notifying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The company Thegadis (hereinafter, "Thegadis") is a simplified joint-stock company, created for the purposes of the operation, which has as its object the operation of a retail commercial establishment. It is indirectly controlled by Mr. Dumasdelage, who also indirectly operates a hypermarket located in Biarritz (64), under the E. Leclerc brand.</w:t>
      </w:r>
    </w:p>
    <w:p>
      <w:r>
        <w:t>2. The Association of E. Leclerc Distributor Centers (hereinafter, the "ACDLec") is the body that defines the strategy of the E. Leclerc movement, to which all individuals who manage E. Leclerc store operating companies are members. The ACDLec notably determines the conditions for approval to the E. Leclerc movement and signs the brand contracts (or "signboard contracts") which must be held by the operators of E. Leclerc retail stores.</w:t>
      </w:r>
    </w:p>
    <w:p>
      <w:r>
        <w:t xml:space="preserve">3. The target store is a hypermarket operated under the Géant Casino brand, located in Anglet (64), with a sales area of 6,950 m², owned by the company Distribution Casino France (hereinafter, "DCF"), a subsidiary of the company Casino Guichard-Perrachon.  </w:t>
        <w:br/>
        <w:t xml:space="preserve">2. CONTROL OF THE ENTITIES CONCERNED  </w:t>
        <w:br/>
        <w:t>4. It is argued in the notification of the operation that the ACDLec exercises no control over Thegadis and will not exercise any control over the target store after the operation. The latter would therefore be exclusively controlled by Mr. Dumasdelage and the notified operation would consequently consist, according to the notifying parties, of the exclusive control of the target store by Mr. Dumasdelage, through Thegadis.</w:t>
      </w:r>
    </w:p>
    <w:p>
      <w:r>
        <w:t>5. Nevertheless, at the end of the operation, the target business will be held by Thegadis, which is jointly controlled, within the meaning of competition law, by the ACDLec and Mr. Dumasdelage. As the Competition Authority has noted in previous decisions1, the obligations that the ACDLec imposes on the operating companies of E. Leclerc stores, such as Thegadis, allow it to exercise a decisive influence over them. This analysis of the decisive influence exercised by the ACDLec is transposable to the present operation, in light of the contractual documents binding Thegadis to the ACDLec.</w:t>
      </w:r>
    </w:p>
    <w:p>
      <w:r>
        <w:t>6. Firstly, the ACDLec constitutes a company within the meaning of the provisions of Article L. 430-1 of the Commercial Code, insofar as it carries out an economic activity consisting notably, according to the provisions of its statutes2, of (i) defining the brand policy, (ii) protecting and promoting the signboard "E. Leclerc Distributor Center", (iii) controlling either for itself or on behalf of any commercial company grouping the E. Leclerc distributor centers, the conditions of management of the latter or of the E. Leclerc centers associated with them, and (iv) contributing to the creation of any organization likely to promote the activity, solidarity, and security of its members.</w:t>
      </w:r>
    </w:p>
    <w:p>
      <w:r>
        <w:t xml:space="preserve">7. Secondly, the ACDLec's holding of joint control over Thegadis at the end of the operation arises from a set of indicators based notably on the possibility for the ACDLec to intervene in the appointment and dismissal of the president of this company and the general director, in the commercial policy of the store held by the operating company, and in the transfers of shares of this operating company.  </w:t>
        <w:br/>
        <w:t xml:space="preserve">1 See the decisions of the Competition Authority No. 16-DCC-14 of January 29, 2016 regarding the joint control of a retail store predominantly focused on food by the company Attindis alongside the Association of E. Leclerc Distributor Centers, No. 16-DCC-53 of April 15, 2016 regarding the joint control of a retail business predominantly focused on food under the E. Leclerc brand by Mr. and Mrs. Bernard alongside the Association of E. Leclerc Distributor Centers, and No. 16-DCC-211 of December 13, 2016 regarding the joint control of a business of the company Sodix by the ACDLec alongside the company Lacdis.  </w:t>
        <w:br/>
        <w:t>2 See the provisions of Article 1 of the statutes of the ACDLec.</w:t>
      </w:r>
    </w:p>
    <w:p>
      <w:r>
        <w:t xml:space="preserve">The possibility to intervene in the appointment and dismissal of the president of Thegadis  </w:t>
        <w:br/>
        <w:t>8. The ACDLec will have a veto right over the appointment and exercise of the functions of the president of Thegadis. The statutes of this company provide that a "Sponsorship Council" appoints by simple majority3 and dismisses unanimously its members4, the president of the company, while the latter "assumes [...] the general management of the company"5. The Sponsorship Council "is vested with the power to control the management of the company"6 and decisions concerning several strategic issues (decisions relating to loans, investments, securities, decisions to take or transfer any direct or indirect interests in any companies, decisions concerning all operations relating to real estate) can only be made by the president with the authorization of the Sponsorship Council7. Furthermore, the latter "may require at any time during the life of the company that the President submits for its consideration: the budgets of the company; the documents of prospective management; the interim situations"8.</w:t>
      </w:r>
    </w:p>
    <w:p>
      <w:r>
        <w:t>9. It follows from these stipulations that the ACDLec is able to exercise, through the Sponsorship Council of Thegadis, control over the latter. The members of the Sponsorship Council are individuals or legal entities that manage companies operating an E. Leclerc center, and are therefore linked to the ACDLec by signboard contracts. They have entered into a sponsorship agreement with Mr. Dumasdelage which grants them the status of "sponsors". The sponsors provide their endorsement to Mr. Dumasdelage within the framework of the draft agreement submitted to the Authority, which indicates that, in return, the sponsored party undertakes notably "to scrupulously apply the directives given by the national or regional structures of the E. Leclerc Movement"9. If Thegadis has not yet been the subject of a sponsorship agreement, it is nevertheless intended to affiliate with the E. Leclerc Movement. Indeed, the statutes of Thegadis mention that the purpose of the company is "to affiliate, directly or indirectly, with all the structures of the E. Leclerc movement and to support the development of the latter within the framework of the cooperative spirit that characterizes it"10.</w:t>
      </w:r>
    </w:p>
    <w:p>
      <w:r>
        <w:t xml:space="preserve">10. More generally, only members of the ACDLec (or the operating companies they manage) can operate a store under the E. Leclerc brand, join Galec or a general supply cooperative of the E. Leclerc movement, or be a sponsor of another member of the ACDLec, this status implying being a holder of a signboard contract signed with the ACDLec11, granting the right to use the E. Leclerc brand. Insofar as the ACDLec is not obliged to grant this right to use the E. Leclerc brand, nor to justify its possible refusals12 and where it can withdraw this right to use the E. Leclerc brand in...  </w:t>
        <w:br/>
        <w:t xml:space="preserve">3 Article 13.2 of the statutes of Thegadis.  </w:t>
        <w:br/>
        <w:t xml:space="preserve">4 Article 13.9 of the statutes of Thegadis.  </w:t>
        <w:br/>
        <w:t xml:space="preserve">5 Article 13.3 of the statutes of Thegadis.  </w:t>
        <w:br/>
        <w:t xml:space="preserve">6 Article 16.2 of the statutes of Thegadis.  </w:t>
        <w:br/>
        <w:t xml:space="preserve">7 Article 13.5 of the statutes of Thegadis.  </w:t>
        <w:br/>
        <w:t xml:space="preserve">8 Article 16.3 of the statutes of Thegadis.  </w:t>
        <w:br/>
        <w:t xml:space="preserve">9 Article 1.2 of the draft sponsorship agreement of Thegadis.  </w:t>
        <w:br/>
        <w:t xml:space="preserve">10 See the preamble of the statutes of Thegadis.  </w:t>
        <w:br/>
        <w:t xml:space="preserve">11 Article 6 of the statutes of the ACDLec provides notably that "membership in the association necessarily involves the signing of the contract whose terms have been established by the board of directors and which defines the conditions for the allocation of the signboard E. Leclerc Distributor Center to the member".  </w:t>
        <w:br/>
        <w:t>12 The statutes of the ACDLec only mention, in this regard, conditions precedent to membership, without the ACDLec being obliged to grant the right to use the E. Leclerc brand if these conditions are met. The same applies to the charter of members of the Leclerc movement, which also only mentions conditions precedent to membership.</w:t>
      </w:r>
    </w:p>
    <w:p>
      <w:r>
        <w:rPr>
          <w:b/>
        </w:rPr>
        <w:t>[Pages 4–6]</w:t>
      </w:r>
    </w:p>
    <w:p>
      <w:r>
        <w:t>application of the stipulations of the signboard contract which leave it a very wide margin of discretion13, ACDLec can control the appointment of the president, but also that of the members of the Sponsorship Council of Thegadis. Intervention in the commercial policy of operating companies 11. ACDLec imposes14, in the signboard contracts, in the charter of members of the E. Leclerc movement15 and in directives, disseminated by its regional presidents who ensure their proper application16, two series of obligations. These obligations significantly limit the autonomy of members in conducting their commercial policy. In this case, these obligations are binding on Mr. Dumasdelage as a signatory, with ACDLec, of a signboard contract17. 12. Firstly, the association receives communication of all documents necessary for the assessment of the commercial operation of the stores by their managers. Members must therefore submit their balance sheet and income statement each year, as well as, monthly, the turnover of the previous month18. 13. Secondly, ACDLec also imposes, in the signboard contracts, obligations that confer on it a determining role for the commercial strategy of the stores. These contracts indeed provide that members cannot apply margins higher than those practiced for wholesale sales and that, in any case, members commit "never to apply a margin higher than those recommended by ACDLec"19. However, the setting of the margin rate is the essential element that conditions the commercial profitability of a large distribution brand. Furthermore, the charter of members of ACDLec expressly states that each member is required to respect the pricing policy of the E. Leclerc movement, which constitutes "an essential element of membership in ACDLec. [...] The average index objective to be achieved to ensure the overall competitiveness of the brand is [...]. Every member must strive towards the set objective and, in any case, have a comprehensive index at the OPUS lower than [...]. Non-compliance with this pricing rule leads to the implementation of a disciplinary procedure, a warning from ACDLec sanctions any excess, three consecutive warnings may lead to expulsion from the association"20. It follows that, in practice, ACDLec is able to define and enforce the commercial policy of E. Leclerc store operating companies. 13 The signboard contracts contain in this regard very broad provisions, granting ACDLec extensive power to withdraw the right to use the E. Leclerc brand, as they provide that their termination is possible in the event of "breach of these [provisions of the signboard contract] or the Statutes or Internal Regulations of the Association of E. Leclerc Distributor Centers or the company SC Galec, as well as in the event that [the manager of the company benefiting from the brand contract] commits a professional or commercial fault likely to cause harm, even simply moral, to the E. Leclerc Distributor Centers" (paragraph VIII). 14 See in particular the preamble of the statutes of ACDLec, which states that ACDLec must particularly "control, either directly, or for itself, or on behalf of any commercial company grouping the E. Leclerc Distributor Centers, the conditions of the management of said centers and its regularity with regard to the principles of True Distribution and the laws and customs of commerce". 15 The charter of members of the E. Leclerc movement notably provides for the following obligations incumbent on members of the E. Leclerc movement: the obligation of sponsorship and the obligation to adopt statutes of SAS whose model has been validated by ACDLec, the obligation to respect the social policy of the E. Leclerc movement, the limitation on the number of points of sale that may be operated by a member, and the obligation to respect the pricing policy of the E. Leclerc movement. 16 See the provisions of Article 5 - "Regional Presidents" of the internal regulations of ACDLec. 17 Mr. Dumasdelage is the holder of a signboard contract mentioning the operation of the company La Négresse Distribution concluded on February 17, 2017. Although the existing signboard contract does not mention the operation of Thegadis, there is no doubt that, as mentioned in point 9 of this decision, Thegadis is intended to be affiliated with the E. Leclerc movement and to appear in the future on the signboard contract. 18 See in particular the provisions of Article 6 of the statutes of ACDLec as well as the provisions of the standard signboard contract E. Leclerc. 19 See the provisions of paragraph III of the standard signboard contract E. Leclerc. 20 See Article 1-2-4 of the charter of members of ACDLec. 4</w:t>
      </w:r>
    </w:p>
    <w:p>
      <w:r>
        <w:t>14. Furthermore, the signboard contracts impose on members obligations precisely framing their supply and investments21. The companies are also required not to operate or manage any other commercial enterprise22, even if it has a similar activity. In addition to these obligations, imposed by ACDLec in the signboard contracts, members of ACDLec are required to comply with the obligations set forth in the charter of members of the E. Leclerc movement23 and by directives outlining the brand policy developed by the strategic committee of ACDLec24, and disseminated by its regional presidents25. Any failure to comply with these obligations may justify the withdrawal of the right to use the E. Leclerc brand26. The possibility of intervening in the share transfers of operating companies 15. The various statutory provisions or contractual stipulations applicable also closely frame the process of transferring shares of Thegadis to a person outside the E. Leclerc movement. 16. Regarding share transfers, several stipulations of the statutes of Thegadis define particularly binding obligations: - any total or partial transfer of shares held by a partner must be subject to a "prior offer of transfer to the other partners"27; and - if the other partners have not expressed their willingness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right to acquire the transferred shares28. 17. Overall, it follows from all of the above, and in particular from the possibility for ACDLec to intervene in the administration and commercial policy, as well as the obligations weighing on the share transfers of Thegadis, that ACDLec will have the ability to exert a determining influence over it at the conclusion of the operation. B. THE OPERATION 18. The operation, formalized by a promise to purchase the business signed on January 16, 2019, between the company Scalandes and DCF, as well as by the substitution declaration of March 12, 2019, by which Thegadis substitutes itself for the company Scalandes, consists of the acquisition by Thegadis of the hypermarket under the Géant Casino brand located at 77, avenue de Bayonne in Anglet (64). The company Thegadis, created for the purposes of the operation, is a simplified joint-stock company under the provisions in accordance with the E. Leclerc standard statutes described above, a member of ACDLec and intended to hold an E. Leclerc signboard contract through Mr. Dumasdelage. The purchasing center of E. Leclerc distributor centers Scalandes, the operating companies Montayral Distribution, Adour Distribution, Pays Basque Distribution, Hyperdistribution, Sodibay, Aquipyrdis, Univerdis, CDA Sud-Ouest, Ormeaudis, Limoges Dis, Laval Distribution, and Mr. Graja, each holding one share within the capital of the company Thegadis, several of which under the sponsorship described in the previous developments, ACDLec will be able to exercise joint control over the new company. 19. Insofar as it results in the joint control of the target store by Thegadis alongside ACDLec, the operation constitutes a concentration within the meaning of Article L. 430-1 of the Commercial Code. 20. The companies concerned operate retail stores and together achieve a total worldwide turnover excluding taxes of more than 75 million euros (E. Leclerc movement: 24 billion euros for the fiscal year ending December 31, 201729; Mr. Dumasdelage: 38.2 million euros for the fiscal year ending December 31, 2017; the target: 38.4 million euros for the fiscal year ending December 31, 2017). At least two of these companies achieve a turnover in France exceeding 15 million euros in the retail sector (E. Leclerc movement: 23 billion euros for the fiscal year ending December 31, 201730; Mr. Dumasdelage: 38.2 million euros for the fiscal year ending December 31, 2017; the target: 38.4 million euros for the fiscal year ending December 31, 2017). Given these turnover figures, the operation does not fall under the jurisdiction of the European Union. However, the control thresholds related to retail mentioned in II of Article L. 430-2 of the Commercial Code are exceeded. This operation is therefore subject to the provisions of Articles L. 430-3 and following of the Commercial Code relating to economic concentrations. II. Definition of relevant markets A. THE UPSTREAM SUPPLY MARKETS 1. PRODUCT MARKETS 21. Regarding the supply markets, the European Commission31 has recognized the existence of markets of national dimension by major product groups, a delimitation followed by national authorities32. 29 ACDLec exercising joint control over certain stores under the E. Leclerc brand, only 50% of the turnover of the stores has been attributed to ACDLec for the purposes of calculating turnover, in accordance with the provisions of paragraphs 186 and 187 of the consolidated communication of the European Commission. 30 ACDLec exercising joint control over certain stores under the E. Leclerc brand, only 50% of the turnover of the stores has been attributed to ACDLec for the purposes of calculating turnover, in accordance with the provisions of paragraphs 186 and 187 of the consolidated communication of the European Commission. 31 See for example the decisions of the European Commission M.1684, Carrefour / Promodès of January 25, 2000; and M.2115, Carrefour / GB, of September 28, 2000. 32 See in particular the decisions of the minister in the food-dominated retail sector C2005-98 Carrefour/Penny Market of November 10, 2005, C2006-15 Carrefour/Groupe Hamon of April 14, 2006, C2007-172 relating to the creation of the company.</w:t>
      </w:r>
    </w:p>
    <w:p>
      <w:r>
        <w:rPr>
          <w:b/>
        </w:rPr>
        <w:t>[Pages 7–9]</w:t>
      </w:r>
    </w:p>
    <w:p>
      <w:r>
        <w:t xml:space="preserve">22. There is no reason to call into question this delimitation in the context of the present operation.  </w:t>
        <w:br/>
        <w:t xml:space="preserve">2. GEOGRAPHICAL MARKETS  </w:t>
        <w:br/>
        <w:t xml:space="preserve">23. From a geographical perspective, the consistent decision-making practice of the competition authorities considers that supply markets are of national dimension33.  </w:t>
        <w:br/>
        <w:t xml:space="preserve">24. There is no reason to call into question the decision-making practice in the context of the present operation.  </w:t>
        <w:br/>
        <w:t xml:space="preserve">B. THE DOWNSTREAM MARKETS OF FOOD-BASED RETAIL  </w:t>
        <w:br/>
        <w:t xml:space="preserve">1. PRODUCT MARKETS  </w:t>
        <w:br/>
        <w:t xml:space="preserve">25. Regarding the retail sale of everyday consumer goods, the decision-making practice34 distinguishes six categories of retail trade of everyday consumer goods, using several criteria, including store size, sales techniques, accessibility, the nature of the service provided, and the range of products offered: (i) hypermarkets (food-dominant stores with a legal sales area exceeding 2,500 m²), (ii) supermarkets (between 400 and 2,500 m²), (iii) specialized trade, (iv) small retail trade (less than 400 m²), (v) maxi-discount stores, (vi) mail order sales. However, the decision-making practice specifies that the size thresholds should be used with caution and may be adapted to the specific case, as stores whose area is near a threshold, either below or above, may find themselves in direct competition with stores of another category.  </w:t>
        <w:br/>
        <w:t xml:space="preserve">26. The competition authorities consider that, while each category of store retains its specificity, there is asymmetric competition between certain of these categories. For the province, they thus distinguish35: (i) a market comprising only hypermarkets, and (ii) a market comprising supermarkets and equivalent forms of trade (hypermarkets, hard-discount, and popular stores) excluding small retail trade (less than 400 m²).  </w:t>
        <w:br/>
        <w:t xml:space="preserve">27. In this case, the target point of sale operated by DCF under the Géant Casino brand has a sales area of 6,950 m² and therefore falls into the category of hypermarkets. The operation will thus be analyzed in the hypermarket market.  </w:t>
        <w:br/>
        <w:t xml:space="preserve">2. GEOGRAPHICAL MARKETS  </w:t>
        <w:br/>
        <w:t xml:space="preserve">28. The competition authorities examined the effects of concentrations in the food-based retail sector at the local level, corresponding to the catchment area associated with each store, the extent of which is determined by the travel time for the consumer.  </w:t>
        <w:br/>
        <w:t xml:space="preserve">29. The Competition Authority emphasized that, for stores with an area exceeding 2,500 m², the conditions of competition are assessed in two different areas:  </w:t>
        <w:br/>
        <w:t xml:space="preserve">- a first market where the demand from consumers in an area meets the supply of hypermarkets to which they have access within 30 minutes of travel by car and which are, from their perspective, substitutable for each other;  </w:t>
        <w:br/>
        <w:t xml:space="preserve">- and a second market where the demand from consumers meets the supply of supermarkets and equivalent forms of trade located within 15 minutes of travel time by car. These latter forms of trade may include, in addition to supermarkets, hypermarkets located near consumers and discount stores36.  </w:t>
        <w:br/>
        <w:t xml:space="preserve">30. The Authority consistently specifies, however, that these delimitations may evolve on a case-by-case basis, depending on the characteristics of the local area, as other criteria may be taken into account to assess the impact of a concentration on the competitive situation in retail markets, which may lead to refining, in the specific case, the usual delimitations presented above.  </w:t>
        <w:br/>
        <w:t xml:space="preserve">31. In this case, the target business falling into the category of hypermarkets, the competitive analysis will be conducted, on the one hand, on the market including only hypermarkets within a 30-minute radius and, on the other hand, on the market including hypermarkets, supermarkets, and equivalent forms of trade located within a 15-minute travel time by car around the target business.  </w:t>
        <w:br/>
        <w:t xml:space="preserve">III. Competitive Analysis  </w:t>
        <w:br/>
        <w:t xml:space="preserve">A. THE UPSTREAM SUPPLY MARKETS  </w:t>
        <w:br/>
        <w:t xml:space="preserve">32. Regarding the upstream supply markets, the operation concerns only one store whose total purchase amount represents an extremely marginal share of the supply market37. The purchasing power of the E. Leclerc movement is therefore not likely to be strengthened, across all products as well as by product categories, as a result of the operation.  </w:t>
        <w:br/>
        <w:t xml:space="preserve">B. THE DOWNSTREAM DISTRIBUTION MARKETS  </w:t>
        <w:br/>
        <w:t xml:space="preserve">33. In the market comprising hypermarkets located in an area corresponding to a travel time of 30 minutes around the Anglet hypermarket, the target store represents 12.6% of the sales areas, and the hypermarkets of the same brand present in the area represent 21.7%. The market shares of the E. Leclerc brand are therefore 34.3% in the area concerned.  </w:t>
        <w:br/>
        <w:t xml:space="preserve">34. In the market comprising supermarkets and equivalent forms of trade located within a 15-minute drive around the Anglet hypermarket, the target store represents 11.6% of the sales areas, and the other points of sale of the same brand represent 23.9% of the sales areas, resulting in a cumulative market share of 35.5% of the sales areas in the area concerned. The stores under the E. Leclerc brand will face competition from five different brands: Carrefour (47.7%), Casino (7.4%), Intermarché (6.2%), Lidl (2.4%), and Système U (0.7%).  </w:t>
        <w:br/>
        <w:t xml:space="preserve">35. Consequently, the operation is not likely to harm competition either in the downstream distribution markets or in the upstream supply markets.  </w:t>
        <w:br/>
        <w:t xml:space="preserve">DECIDES  </w:t>
        <w:br/>
        <w:t xml:space="preserve">Single Article: The operation notified under number 19-040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