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https://www.autoritedelaconcurrence.fr/fr/decision-de-controle-des-concentrations/relative-la-prise-de-controle-conjoint-dun-fonds-de-16</w:t>
      </w:r>
    </w:p>
    <w:p>
      <w:r>
        <w:t>Pages translated : 5</w:t>
      </w:r>
    </w:p>
    <w:p/>
    <w:p>
      <w:r>
        <w:rPr>
          <w:b/>
        </w:rPr>
        <w:t>[Pages 1–3]</w:t>
      </w:r>
    </w:p>
    <w:p>
      <w:r>
        <w:t xml:space="preserve">FRENCH REPUBLIC  </w:t>
        <w:br/>
        <w:t xml:space="preserve">Decision No. 19-DCC-190 of October 22, 2019  </w:t>
        <w:br/>
        <w:t>regarding the joint control of a Géant Casino business by Mr. Machillot and the Cooperative U Enseigne</w:t>
      </w:r>
    </w:p>
    <w:p>
      <w:r>
        <w:t xml:space="preserve">The Competition Authority,  </w:t>
        <w:br/>
        <w:t xml:space="preserve">Having regard to the notification file submitted in full to the merger service on September 20, 2019, regarding the joint control of a Géant Casino business located in Marmande by Mr. Machillot and the Cooperative U Enseigne, formalized by unilateral purchase promises dated July 23, 2019;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Cooperative U Enseigne is a cooperative public limited company owned by the four regional central cooperative companies of the Système U group and their directors, individuals. Its purpose is notably to purchase goods from suppliers and resell them to its independent merchant associates, each owning their store, who operate stores under the brands Hyper U, Super U, Marché U, U Express, and Utile.  </w:t>
        <w:br/>
        <w:t xml:space="preserve">2. Mr. Machillot is an individual who does not hold any controlling interest in any company.  </w:t>
        <w:br/>
        <w:t xml:space="preserve">3. The target store, currently operated under the Géant Casino brand, is a hypermarket with a sales area of 3,819 m², with a gas station, located in Marmande (47). The target store is owned by Distribution Casino France and the gas station by Floreal.  </w:t>
        <w:br/>
        <w:t xml:space="preserve">4. The proposed operation consists of the acquisition by the company Marmandis, a simplified joint-stock company created for this purpose and owned by Mr. Machillot ([50-60]% of the capital and voting rights) and the Cooperative U Enseigne ([20-30]% of the capital and voting rights), on the one hand, of the business assets of the target store with gas station, and on the other hand, of the entire real estate in which it is operated. As both acquisitions are simultaneous and legally linked in the aforementioned unilateral purchase promises, they constitute a single concentration operation. Upon completion of the operation, the target business will be operated under the U brand.  </w:t>
        <w:br/>
        <w:t xml:space="preserve">5. As it results in the joint control by Mr. Machillot and the Cooperative U Enseigne of a retail business predominantly in the food sector, the notified operation constitutes a concentration within the meaning of Article L. 430-1 of the Commercial Code.  </w:t>
        <w:br/>
        <w:t>6. The companies involved operate one or more retail stores and together achieve a total worldwide turnover of more than 75 million euros (U Enseigne: [≥75 million] euros for the fiscal year ending December 31, 2018; Géant Casino of Marmande: [≤75 million] euros for the same fiscal year). Each of these companies achieves, in France, a turnover exceeding 15 million euros (U Enseigne: [≥15 million] euros for the fiscal year ending December 31, 2016; Géant Casino of Marmande: [≥15] million euros for the same fiscal year). Given these turnover figures,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7. According to the consistent practice of national and European competition authorities, two categories of markets can be delineated in the food retail sector. These are, on the one hand, the "upstream" markets for supplying retail businesses with everyday consumer goods and, on the other hand, the "downstream" markets that bring together retail businesses and consumers for the sale of consumer goods.</w:t>
      </w:r>
    </w:p>
    <w:p>
      <w:r>
        <w:t xml:space="preserve">A. UPSTREAM SUPPLY MARKETS  </w:t>
        <w:br/>
        <w:t xml:space="preserve">8. Regarding supply markets, the European Commission and national competition authorities have recognized the existence of markets of national dimension by major product groups.  </w:t>
        <w:br/>
        <w:t>9. There is no need to challenge this delineation in the context of the present operation.</w:t>
      </w:r>
    </w:p>
    <w:p>
      <w:r>
        <w:t xml:space="preserve">B. DOWNSTREAM MARKETS OF DISTRIBUTION  </w:t>
        <w:br/>
        <w:t xml:space="preserve">1. PRODUCT MARKETS  </w:t>
        <w:br/>
        <w:t xml:space="preserve">10. Regarding the retail sale of everyday consumer goods, competition authorities, both European and national,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and (vi) mail order sales.  </w:t>
        <w:br/>
        <w:t xml:space="preserve">11.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These thresholds should, however, be used with caution and may be adapted to the specific case, as stores whose area is close to a threshold (below or above) may be in direct competition.  </w:t>
        <w:br/>
        <w:t xml:space="preserve">12. Competition authorities also consider that, while each category of store retains its specificity, there is asymmetric competition between some of these categories. Indeed, a hypermarket may typically be used by some consumers as a convenience store, substituting for a supermarket. Conversely, the reverse is almost never true and is even less so as the size of the hypermarket in question is significant. Consequently, if the target store is a hypermarket, the analysis is conducted on a market including only hypermarkets, on the one hand, and on a market including supermarkets and equivalent forms of commerce (hypermarkets, hard discount, and popular stores) excluding small retail trade (less than 400 m²), on the other hand. If the target store is a supermarket, the analysis is conducted only on the second type of market mentioned above.  </w:t>
        <w:br/>
        <w:t>13. In this case, the target business has a sales area of 3,819 m². It therefore falls into the category of hypermarkets.</w:t>
      </w:r>
    </w:p>
    <w:p>
      <w:r>
        <w:t xml:space="preserve">2. GEOGRAPHICAL DELIMITATION  </w:t>
        <w:br/>
        <w:t xml:space="preserve">14. In its decisions regarding operations involving hypermarkets or supermarkets, the Competition Authority has recalled that two types of markets are usually distinguished, based on catchment areas:  </w:t>
        <w:br/>
        <w:t>- a first market where consumer demand from an area meets the supply of hypermarkets that they can access within less than 30 minutes of driving and which are, from their perspective, substitutable for each other;</w:t>
      </w:r>
    </w:p>
    <w:p>
      <w:r>
        <w:rPr>
          <w:b/>
        </w:rPr>
        <w:t>[Pages 4–5]</w:t>
      </w:r>
    </w:p>
    <w:p>
      <w:r>
        <w:t xml:space="preserve">- a secondary market where consumer demand and the supply of supermarkets and equivalent forms of commerce meet, located within a 15-minute drive. These latter forms of commerce may include, in addition to supermarkets, hypermarkets located near consumers and discount stores.  </w:t>
        <w:br/>
        <w:t xml:space="preserve">15. Other criteria may nevertheless be considered to assess the impact of a concentration on the competitive situation in retail distribution markets, which may lead to refining, in the specific case, the usual delineations presented above.  </w:t>
        <w:br/>
        <w:t xml:space="preserve">16. In the specific case, the business assets in question fall into the category of hypermarkets, and the competitive analysis will be conducted, on the one hand, on the market including hypermarkets, supermarkets, and equivalent forms of commerce located within a 15-minute driving radius around the target business, and, on the other hand, on the market including only hypermarkets within a 30-minute radius.  </w:t>
        <w:br/>
        <w:t xml:space="preserve">III. Competitive Analysis  </w:t>
        <w:br/>
        <w:t xml:space="preserve">17. In the upstream supply markets, the operation concerning the change of control of a single store under a competing brand is not likely to strengthen the purchasing power of the Système U group, across all products as well as by major product group, insofar as the target business represents a negligible weight at the national level.  </w:t>
        <w:br/>
        <w:t xml:space="preserve">18. In the downstream market of food distribution including supermarkets and equivalent forms of commerce located within a 15-minute driving area, the Système U group will hold [30-40]% of the sales areas in the zone ([20-30]% for the target).  </w:t>
        <w:br/>
        <w:t xml:space="preserve">19. The stores under the Système U brand in the catchment area will, however, face competition from several other points of sale, notably under the Leclerc brand ([30-40]%), Carrefour ([10-20]%), Intermarché ([10-20]%), Casino ([5-10]%), and Lidl ([0-5]%).  </w:t>
        <w:br/>
        <w:t xml:space="preserve">20. In the downstream market of food distribution including hypermarkets located within a 30-minute driving area, only the target hypermarket, whose market share is estimated at [10-20]% of the sales areas in the zone, will be operated under the Système U brand. The operation does not indeed create any overlap of activities between the parties in this area.  </w:t>
        <w:br/>
        <w:t xml:space="preserve">21. The new entity will also face competition from several competing hypermarkets, under the Leclerc brand ([40-50]%), Intermarché ([20-30]%), and Carrefour ([10-20]%).  </w:t>
        <w:br/>
        <w:t xml:space="preserve">22. Consequently, the operation is not likely to harm competition in the relevant markets.  </w:t>
        <w:br/>
        <w:t>4</w:t>
      </w:r>
    </w:p>
    <w:p>
      <w:r>
        <w:t xml:space="preserve">DECIDES  </w:t>
        <w:br/>
        <w:t xml:space="preserve">Sole Article: The operation notified under number 19-242 is authorized.  </w:t>
        <w:br/>
        <w:t xml:space="preserve">The Vice-President,  </w:t>
        <w:br/>
        <w:t xml:space="preserve">Emmanuel Combe  </w:t>
        <w:br/>
        <w:t xml:space="preserve">© 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