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https://www.autoritedelaconcurrence.fr/fr/decision-de-controle-des-concentrations/relative-la-prise-de-controle-conjoint-dun-fonds-de-17</w:t>
      </w:r>
    </w:p>
    <w:p>
      <w:r>
        <w:t>Pages translated : 2</w:t>
      </w:r>
    </w:p>
    <w:p/>
    <w:p>
      <w:r>
        <w:rPr>
          <w:b/>
        </w:rPr>
        <w:t>[Pages 1–2]</w:t>
      </w:r>
    </w:p>
    <w:p>
      <w:r>
        <w:t xml:space="preserve">FRENCH REPUBLIC  </w:t>
        <w:br/>
        <w:t xml:space="preserve">Decision No. 19-DCC-192 of October 18, 2019  </w:t>
        <w:br/>
        <w:t xml:space="preserve">regarding the joint control acquisition of a predominantly food retail business by the company Marandis alongside the Association of E. Leclerc Distributor Centers  </w:t>
        <w:br/>
        <w:t xml:space="preserve">The Competition Authority,  </w:t>
        <w:br/>
        <w:t xml:space="preserve">Having regard to the complete notification file sent to the mergers department on September 17, 2019, concerning the joint control acquisition of a predominantly food retail business by the company Marandis alongside the Association of E. Leclerc Distributor Centers, formalized by a purchase promise of the business dated July 23, 2019;  </w:t>
        <w:br/>
        <w:t xml:space="preserve">Having regard to Book IV of the Commercial Code relating to the freedom of prices and competition, and in particular its Articles L. 430-1 to L. 430-7;  </w:t>
        <w:br/>
        <w:t xml:space="preserve">Having regard to the supplementary elements transmitted by the notifying parties during the investigation;  </w:t>
        <w:br/>
        <w:t xml:space="preserve">Adopts the following decision:  </w:t>
        <w:br/>
        <w:t xml:space="preserve">1. The notified operation consists of the joint control acquisition by the company Marandis alongside the Association of E. Leclerc Distributor Centers of a predominantly food retail business of the hypermarket type, under the Géant Casino brand, with a sales area of 8,522 m², located in Béziers (34). It constitutes a concentration within the meaning of Article L. 430-1 of the Commercial Code. Given the turnover achieved by the concerned companies, the operation does not fall under the jurisdiction of the European Union. On the other hand, the control thresholds mentioned in II relating to retail trade in Article L. 430-2 of the Commercial Code are exceeded. This operation is therefore subject to the provisions of Articles L. 430-3 and following of the Commercial Code relating to economic concentration.  </w:t>
        <w:br/>
        <w:t xml:space="preserve">2. The markets primarily concerned by the operation are the markets for predominantly food retail distribution, which are consistently defined by the decision-making practice of the Competition Authority.  </w:t>
        <w:br/>
        <w:t xml:space="preserve">3. Regardless of the segmentations retained, the combined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19-233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