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https://www.autoritedelaconcurrence.fr/fr/decision-de-controle-des-concentrations/relative-la-prise-de-controle-conjoint-dun-fonds-de-18</w:t>
      </w:r>
    </w:p>
    <w:p>
      <w:r>
        <w:t>Pages translated : 7</w:t>
      </w:r>
    </w:p>
    <w:p/>
    <w:p>
      <w:r>
        <w:rPr>
          <w:b/>
        </w:rPr>
        <w:t>[Pages 1–3]</w:t>
      </w:r>
    </w:p>
    <w:p>
      <w:r>
        <w:t xml:space="preserve">FRENCH REPUBLIC  </w:t>
        <w:br/>
        <w:t xml:space="preserve">Decision No. 20-DCC-40 of March 23, 2020  </w:t>
        <w:br/>
        <w:t>regarding the joint control of a retail business with a food dominance by the company Soresum alongside the Association of E. Leclerc Distributor Centers</w:t>
      </w:r>
    </w:p>
    <w:p>
      <w:r>
        <w:t xml:space="preserve">The Competition Authority,  </w:t>
        <w:br/>
        <w:t xml:space="preserve">Having regard to the notification file sent to the merger service on December 17, 2019, and declared complete on February 17, 2020, regarding the joint control of a retail business with a food dominance by the company Soresum alongside the Association of E. Leclerc Distributor Centers, formalized by a settlement agreement dated December 9, 2019, and a commercial lease contract dated February 14, 2020;  </w:t>
        <w:br/>
        <w:t xml:space="preserve">Having regard to Book IV of the Commercial Code relating to the freedom of prices and competition, and in particular its Articles L. 430-1 to L. 430-7;  </w:t>
        <w:br/>
        <w:t xml:space="preserve">Having regard to the elements transmitted by the parties during the investigation;  </w:t>
        <w:br/>
        <w:t>Adopts the following decision:</w:t>
      </w:r>
    </w:p>
    <w:p>
      <w:r>
        <w:t xml:space="preserve">I. The companies concerned and the operation  </w:t>
        <w:br/>
        <w:t xml:space="preserve">A. THE COMPANIES CONCERNED  </w:t>
        <w:br/>
        <w:t xml:space="preserve">1. THE ACQUIRERS AND THE TARGET  </w:t>
        <w:br/>
        <w:t>1. The company Soresum is controlled by the Chong Fah Shen family (hereinafter the "Chong Fah Shen group"). The Chong Fah Shen group consists of several companies active in Réunion, particularly in the sectors of steel, real estate, and large-scale distribution. It operates in Réunion, under the E. Leclerc brand, two hypermarkets located in Tampon and Sainte Clotilde, as well as two supermarkets located in Tampon and Plaine des Cafres. The Chong Fah Shen group also jointly operates with the Excellence group a hypermarket located in Saint-Leu.</w:t>
      </w:r>
    </w:p>
    <w:p>
      <w:r>
        <w:t>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"trademark licenses") which the operators of E. Leclerc retail stores must hold.</w:t>
      </w:r>
    </w:p>
    <w:p>
      <w:r>
        <w:t>3. The target store is a hypermarket, formerly under the Auchan brand, whose operation ceased following the initiation of a judicial liquidation procedure, located in Saint-Pierre de la Réunion (974), with a sales area of 5,685 m².</w:t>
      </w:r>
    </w:p>
    <w:p>
      <w:r>
        <w:t xml:space="preserve">2. CONTROL OF THE ENTITIES CONCERNED  </w:t>
        <w:br/>
        <w:t>4. Following the operation, the target business will be held by an operating company, which will be jointly controlled, within the meaning of competition law, by the ACDLec and the Chong Fah Shen group. Indeed, as the Authority noted in previous decisions1, the obligations that the ACDLec imposes on the operating companies of E. Leclerc stores, such as the company currently being created, allow it to exert a decisive influence over them. This analysis of the decisive influence exerted by the ACDLec is transposable to the present operation, in light of the contractual documents that will bind the operating company to the ACDLec2.</w:t>
      </w:r>
    </w:p>
    <w:p>
      <w:r>
        <w:t xml:space="preserve">B. THE OPERATION  </w:t>
        <w:br/>
        <w:t>5. The operation, formalized by a settlement agreement dated December 9, 2019, and a lease contract dated February 14, 2020, consists of the acquisition by the Chong Fah Shen group of the unbranded hypermarket located in Saint-Pierre de la Réunion (974). The target point of sale will be operated by a company currently being created whose statutes will comply with the E. Leclerc standard statutes. It is intended to hold a trademark license contract for E. Leclerc through the Chong Fah Shen group3. The purchasing center of the E. Leclerc distributor centers SCA Normande will hold a share in the capital of the company Soco Invest.</w:t>
      </w:r>
    </w:p>
    <w:p>
      <w:r>
        <w:t xml:space="preserve">6. As it results in the joint control of the target store by Soresum alongside the ACDLec, the operation constitutes a concentration within the meaning of Article L. 430-1 of the Commercial Code.  </w:t>
        <w:br/>
        <w:t xml:space="preserve">1 Decisions of the Authority No. 16-DCC-14 of January 29, 2016, regarding the joint control of a retail store with a food dominance by the company Attindis alongside the Association of E. Leclerc Distributor Centers, No. 16-DCC-53 of April 15, 2016, regarding the joint control of a retail business with a food dominance under the E. Leclerc brand by the Bernard spouses alongside the Association of E. Leclerc Distributor Centers, No. 16-DCC-211 of December 13, 2016, regarding the joint control of a business of the company Sodix by the ACDLec Association alongside the company Lacdis, and No. 19-DCC-63 of April 9, 2019, regarding the joint control of a retail business with a food dominance by the company Thegadis alongside the Association of E. Leclerc Distributor Centers.  </w:t>
        <w:br/>
        <w:t xml:space="preserve">2 See paragraphs 6 to 17 of the Authority's decision No. 19-DCC-63 of April 9, 2019, regarding the joint control of a retail business with a food dominance by the company Thegadis alongside the Association of E. Leclerc Distributor Centers.  </w:t>
        <w:br/>
        <w:t>3 The Chong Fah Shen group holds a trademark license contract mentioning the operation of the company SODHYNORD, concluded on March 21, 2018. Although the existing trademark license contract does not mention the operation of the point of sale in Saint-Pierre de la Réunion, there is no doubt that the operating company currently being created is intended to be affiliated with the E. Leclerc Movement and to appear in the future on the E. Leclerc trademark license contract.</w:t>
      </w:r>
    </w:p>
    <w:p>
      <w:r>
        <w:t>7. The companies concerned together achieve a total worldwide turnover excluding taxes of more than 75 million euros (E. Leclerc movement: [≥75 million] euros for the fiscal year ending December 31, 20184; Chong Fah Shen group: [≥75] million euros for the same fiscal year; the target store: [≤75] million euros for the fiscal year ending March 31, 2019). Two of these companies achieve a turnover in France exceeding 15 million euros (E. Leclerc movement: [≥15 million] euros for the fiscal year ending December 31, 20185; Chong Fah Shen group: [≥15] million euros for the same fiscal year; the target store: [≥15] million euros for the fiscal year ending March 31, 2019).</w:t>
      </w:r>
    </w:p>
    <w:p>
      <w:r>
        <w:t>8. The notification thresholds of Article 1 paragraph 2 of Regulation (EC) 139/2004 are not exceeded; the operation does not fall under the jurisdiction of the European Union. On the other hand, the thresholds for control relating to retail trade mentioned in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UPSTREAM MARKETS OF SUPPLY  </w:t>
        <w:br/>
        <w:t xml:space="preserve">1. PRODUCT MARKETS  </w:t>
        <w:br/>
        <w:t xml:space="preserve">9. Regarding the supply markets, the European Commission6 recognizes the existence of markets of national dimension by major product groups, a delimitation followed by national authorities7.  </w:t>
        <w:br/>
        <w:t>10. There is no need to challenge this delimitation in the context of the present operation.</w:t>
      </w:r>
    </w:p>
    <w:p>
      <w:r>
        <w:t xml:space="preserve">2. GEOGRAPHICAL MARKETS  </w:t>
        <w:br/>
        <w:t xml:space="preserve">11. From a geographical perspective, the consistent decision-making practice of competition authorities considers that supply markets are of national dimension8.  </w:t>
        <w:br/>
        <w:t xml:space="preserve">12. Regarding the overseas departments and regions (hereinafter "DROM"), the Authority has highlighted the specific nature of the supply circuits for consumer goods and its effects on the competitive balance of the markets concerned9. Furthermore, part of the supply for retail distribution brands with a food dominance comes from local producers, in order to respond to the tastes and eating habits.  </w:t>
        <w:br/>
        <w:t xml:space="preserve">4 The ACDLec exercising joint control over certain stores under the E. Leclerc brand, 50% of the turnover of the stores has been attributed to the ACDLec for the purpose of calculating turnover, in accordance with the provisions of paragraphs 186 and 187 of the consolidated communication of the European Commission.  </w:t>
        <w:br/>
        <w:t xml:space="preserve">5 Id.  </w:t>
        <w:br/>
        <w:t xml:space="preserve">6 Decisions of the European Commission M.1684 of January 25, 2000 Carrefour / Promodès and M.2115 of September 28, 2000 Carrefour / GB.  </w:t>
        <w:br/>
        <w:t xml:space="preserve">7 Letters from the Minister responsible for the economy C2005-98 of November 10, 2005 Carrefour/Penny Market, C2006-15 of April 14, 2006 Carrefour/Groupe Hamon, C2007-172 of February 13, 2008 regarding the creation of the joint venture Plamidis and C2008-32 of July 9, 2008 Carrefour/SAGC, as well as decisions No. 16-DCC-53 and No. 16-DCC-211 mentioned above.  </w:t>
        <w:br/>
        <w:t xml:space="preserve">8 Decisions COMP/M.1684, COMP/M.4096, No. 16-DCC-53 and No. 16-DCC-211 mentioned above.  </w:t>
        <w:br/>
        <w:t>9 Opinion of the Competition Council No. 09-A-45 of September 8, 2009 regarding the import and distribution mechanisms of consumer goods in the overseas departments and Opinion 19-A-12 of July 4, 2019 concerning the functioning of competition in the Overseas.</w:t>
      </w:r>
    </w:p>
    <w:p>
      <w:r>
        <w:rPr>
          <w:b/>
        </w:rPr>
        <w:t>[Pages 4–6]</w:t>
      </w:r>
    </w:p>
    <w:p>
      <w:r>
        <w:t>local nature, but also to limit import costs, including maritime freight and the dock dues. Therefore, the geographical markets for supply can be limited to each DROM10.</w:t>
      </w:r>
    </w:p>
    <w:p>
      <w:r>
        <w:t>13. In this case, the parties are simultaneously active in Réunion.</w:t>
      </w:r>
    </w:p>
    <w:p>
      <w:r>
        <w:t>B. DOWNSTREAM MARKETS FOR RETAIL DISTRIBUTION WITH A FOOD DOMINANCE</w:t>
      </w:r>
    </w:p>
    <w:p>
      <w:r>
        <w:t>1. PRODUCT MARKETS</w:t>
      </w:r>
    </w:p>
    <w:p>
      <w:r>
        <w:t>14. Regarding the retail sale of everyday consumer goods, the Authority distinguishes six categories of retail trade of everyday consumer goods, using several criteria, including the size of the stores, their sales techniques, their accessibility, the nature of the service provided, and the range of products offered: (i) hypermarkets (stores with a food dominance with a legal sales area greater than 2,500 m²), (ii) supermarkets (between 400 and 2,500 m²), (iii) specialized trade, (iv) small retail trade (less than 400 m²), (v) maxi-discount stores, (vi) mail order11. These surface thresholds must, however, be used with caution: they can be adapted to each specific case, particularly if stores whose surface is near a threshold, either below or above, are in direct competition with stores of another category.</w:t>
      </w:r>
    </w:p>
    <w:p>
      <w:r>
        <w:t>15. While each category of store retains its specificity, there is asymmetric competition between some of these categories. The Authority thus distinguishes: (i) a market comprising only hypermarkets and (ii) a market comprising supermarkets and equivalent forms of trade (hypermarkets, hard-discount, and popular stores) excluding small retail trade (less than 400 m²)12.</w:t>
      </w:r>
    </w:p>
    <w:p>
      <w:r>
        <w:t>16. In this case, the target store has a sales area of 5,685 m²: it therefore falls into the category of hypermarkets. The operation will thus be analyzed in the two markets defined above.</w:t>
      </w:r>
    </w:p>
    <w:p>
      <w:r>
        <w:t>2. GEOGRAPHICAL MARKETS</w:t>
      </w:r>
    </w:p>
    <w:p>
      <w:r>
        <w:t>17. Competition authorities examine the effects of concentrations in the food-dominant retail sector at the local level, which corresponds to the catchment area associated with each store and whose extent is based on the driving time for the consumer (excluding Paris)13.</w:t>
      </w:r>
    </w:p>
    <w:p>
      <w:r>
        <w:t>18. For stores with a surface area greater than 2,500 m², the Authority considers that the conditions of competition are assessed in two different areas (excluding Paris):</w:t>
        <w:br/>
        <w:t>- a first market where the demand from consumers in an area meets the supply of hypermarkets that they can access within 30 minutes of driving time and which are, from their point of view, substitutable for each other;</w:t>
        <w:br/>
        <w:t>10 Decision of the Authority No. 18-DCC-142 of August 23, 2018, regarding the exclusive control of the companies SDRO and Robert II by the company Groupe Bernard Hayot.</w:t>
        <w:br/>
        <w:t>11 Decisions No. 16-DCC-53, No. 16-DCC-211, and No. 19-DCC-63 cited above.</w:t>
        <w:br/>
        <w:t>12 Id.</w:t>
        <w:br/>
        <w:t>13 Id.</w:t>
      </w:r>
    </w:p>
    <w:p>
      <w:r>
        <w:t>4</w:t>
      </w:r>
    </w:p>
    <w:p>
      <w:r>
        <w:t>- and a second market where the demand from consumers meets the supply of supermarkets and equivalent forms of trade located within 15 minutes of driving time14.</w:t>
      </w:r>
    </w:p>
    <w:p>
      <w:r>
        <w:t>19. These delimitations are, however, subject to refinement on a case-by-case basis, depending on the characteristics of the local area, since other criteria may be taken into account to assess the impact of a concentration on competition.</w:t>
      </w:r>
    </w:p>
    <w:p>
      <w:r>
        <w:t>20. In this instance, since the target store falls into the category of hypermarkets, the operation will be analyzed in the market including only hypermarkets within a 30-minute driving radius from the target store and, on the other hand, in the market including hypermarkets, supermarkets, and equivalent forms of trade located within a 15-minute radius.</w:t>
      </w:r>
    </w:p>
    <w:p>
      <w:r>
        <w:t>III. Competitive Analysis</w:t>
      </w:r>
    </w:p>
    <w:p>
      <w:r>
        <w:t>21. The Chong Fah Shen group currently operates, under the E. Leclerc brand, two hypermarkets and one supermarket in Réunion. However, it results from the investigation that the Excellence group also operates several hypermarkets and supermarkets under the E. Leclerc brand in Réunion. These stores will be included in the analysis.</w:t>
      </w:r>
    </w:p>
    <w:p>
      <w:r>
        <w:t>A. UPSTREAM SUPPLY MARKETS</w:t>
      </w:r>
    </w:p>
    <w:p>
      <w:r>
        <w:t>1. AT THE NATIONAL LEVEL</w:t>
      </w:r>
    </w:p>
    <w:p>
      <w:r>
        <w:t>22. Regarding the upstream supply markets, the operation concerns only one store, whose total purchases represent a marginal share of the national supply market.</w:t>
      </w:r>
    </w:p>
    <w:p>
      <w:r>
        <w:t>23. The purchasing power of the E. Leclerc movement and the Chong Fah Shen group is therefore not likely to be strengthened, across all products as well as by product categories, following the operation.</w:t>
      </w:r>
    </w:p>
    <w:p>
      <w:r>
        <w:t>2. AT THE LOCAL LEVEL</w:t>
      </w:r>
    </w:p>
    <w:p>
      <w:r>
        <w:t>24. At the local level, the purchasing power of the E. Leclerc movement and the Chong Fah Shen group is strengthened by the acquisition of the target store. However, the combined market shares of the parties are below 25%, regardless of the segmentation chosen.</w:t>
      </w:r>
    </w:p>
    <w:p>
      <w:r>
        <w:t>14 Id.</w:t>
      </w:r>
    </w:p>
    <w:p>
      <w:r>
        <w:t>5</w:t>
      </w:r>
    </w:p>
    <w:p>
      <w:r>
        <w:t>B. DOWNSTREAM DISTRIBUTION MARKETS</w:t>
      </w:r>
    </w:p>
    <w:p>
      <w:r>
        <w:t>25. In the market comprising hypermarkets located in an area corresponding to a 30-minute drive from the target hypermarket, the target store represents [10-20]% of the sales areas. Three hypermarkets under the E. Leclerc brand are also present in the area, at 11, 20, and 23 minutes, and represent [20-30]% of the areas in the concerned zone. The market share of the E. Leclerc brand is therefore [40-50]%. The E. Leclerc stores will face competition from four competing brands, Système U ([10-20]%), Carrefour ([10-20]%), Jumbo Score ([10-20]%), and Auchan ([10-20]%), located at 11, 5, 7, and 11 minutes respectively.</w:t>
      </w:r>
    </w:p>
    <w:p>
      <w:r>
        <w:t>26. In order to take into account the significant disparities of brands in terms of profitability relative to sales area, the analysis has been supplemented by an examination of their position from the perspective of turnover. The E. Leclerc brand will have [50-60]% market share in the area. While this market share is high, the intensity of the remaining competition helps to avoid risks of harm to competition. Indeed, four national brands are present in the area, all closer or at an equivalent distance from the first E. Leclerc point of sale. Furthermore, the E. Leclerc stores in Saint Leu and Saint Joseph are distant from the target store, which exerts little competitive pressure on them.</w:t>
      </w:r>
    </w:p>
    <w:p>
      <w:r>
        <w:t>27. Given these elements, any risk of harm to competition can be ruled out in the 30-minute area.</w:t>
      </w:r>
    </w:p>
    <w:p>
      <w:r>
        <w:t>28. In the market comprising hypermarkets, supermarkets, and equivalent forms of trade located in an area corresponding to a 15-minute drive from the target hypermarket, the target store represents [10-20]% of the sales areas. The other stores under the E. Leclerc brand represent [10-20]% of the sales areas in the concerned zone. The market share of the E. Leclerc brand is therefore [20-30]%. The E. Leclerc stores will face competition from six competing brands, including Jumbo Score ([20-30]%), Système U ([10-20]%), Carrefour ([10-20]%), Leader Price ([10-20]%), and Auchan ([5-10]%). In terms of turnover, the E. Leclerc brand will have [40-50]% market share in the area. Any risk of harm to competition can therefore be ruled out in the 15-minute area.</w:t>
      </w:r>
    </w:p>
    <w:p>
      <w:r>
        <w:t>29. Consequently, the operation is not likely to harm competition either in the downstream distribution markets or in the upstream supply markets.</w:t>
      </w:r>
    </w:p>
    <w:p>
      <w:r>
        <w:rPr>
          <w:b/>
        </w:rPr>
        <w:t>[Pages 7–7]</w:t>
      </w:r>
    </w:p>
    <w:p>
      <w:r>
        <w:t>DECIDES</w:t>
      </w:r>
    </w:p>
    <w:p>
      <w:r>
        <w:t>Sole Article: The operation notified under number 19-337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