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https://www.autoritedelaconcurrence.fr/fr/decision-de-controle-des-concentrations/relative-la-prise-de-controle-conjoint-dun-fonds-de-2</w:t>
      </w:r>
    </w:p>
    <w:p>
      <w:r>
        <w:t>Pages translated : 9</w:t>
      </w:r>
    </w:p>
    <w:p/>
    <w:p>
      <w:r>
        <w:rPr>
          <w:b/>
        </w:rPr>
        <w:t>[Pages 1–3]</w:t>
      </w:r>
    </w:p>
    <w:p>
      <w:r>
        <w:t xml:space="preserve">FRENCH REPUBLIC  </w:t>
        <w:br/>
        <w:t xml:space="preserve">Decision No. 16-DCC-211 of December 13, 2016  </w:t>
        <w:br/>
        <w:t xml:space="preserve">regarding the joint control of a business of the  </w:t>
        <w:br/>
        <w:t>company Sodix by the ACDLec Association alongside the company Lacdis</w:t>
      </w:r>
    </w:p>
    <w:p>
      <w:r>
        <w:t xml:space="preserve">The Competition Authority,  </w:t>
        <w:br/>
        <w:t xml:space="preserve">Having regard to the notification file submitted in full to the merger service on November 14, 2016, regarding the joint control of the company Sodix by the Association of E. Leclerc Distributor Centers alongside the company Lacdis, formalized by a share transfer agreement dated October 25, 2016;  </w:t>
        <w:br/>
        <w:t xml:space="preserve">Having regard to Book IV of the Commercial Code relating to the freedom of prices and competition, and in particular its Articles L. 430-1 to L. 430-7;  </w:t>
        <w:br/>
        <w:t>Adopts the following decision:</w:t>
      </w:r>
    </w:p>
    <w:p>
      <w:r>
        <w:t xml:space="preserve">I. The concerned companies and the operation  </w:t>
        <w:br/>
        <w:t xml:space="preserve">A. THE CONCERNED COMPANIES  </w:t>
        <w:br/>
        <w:t xml:space="preserve">1. THE ACQUIRERS AND THE TARGET  </w:t>
        <w:br/>
        <w:t xml:space="preserve">1. The company Lacdis (hereinafter, "Lacdis") is a holding company created for the needs of the operation, wholly owned by the Despreaux spouses. The latter control the company Sodirib, which operates a hypermarket under the E. Leclerc brand located in Ribécourt-Dreslincourt (60).  </w:t>
        <w:br/>
        <w:t xml:space="preserve">2. The Association of E. Leclerc Distributor Centers (hereinafter, "ACDLec") is the strategic body of the E. Leclerc movement, to which all individuals managing E. Leclerc retail store operating companies are members. ACDLec notably determines the conditions for approval to the E. Leclerc movement and signs the signboard contracts that E. Leclerc retail store operators must hold.  </w:t>
        <w:br/>
        <w:t>3. The company Sodix (hereinafter, "Sodix") operates a hypermarket under the Auchan brand, located in Lacroix-Saint-Ouen (60), with a surface area of 4,993 m². The capital of Sodix is currently wholly owned by the Verfaillie consortium.</w:t>
      </w:r>
    </w:p>
    <w:p>
      <w:r>
        <w:t xml:space="preserve">2. CONTROL OF THE CONCERNED ENTITIES  </w:t>
        <w:br/>
        <w:t xml:space="preserve">4. It is asserted in the notification of the operation that ACDLec does not exercise any control over Lacdis and will not exercise any control over the target store after the operation. The latter would therefore be exclusively controlled by the Despreaux spouses, and the notified operation would consist of the exclusive control of the target store by the Despreaux spouses, through Lacdis.  </w:t>
        <w:br/>
        <w:t xml:space="preserve">5. Nevertheless, at the conclusion of the operation, Sodix will be owned by Lacdis, which is jointly controlled by ACDLec and the Despreaux spouses. Indeed, as the Competition Authority has noted in previous decisions, the obligations that ACDLec imposes on the operating companies of E. Leclerc stores, such as Lacdis, allow it to exercise a determining influence over them. This analysis of the determining influence exercised by ACDLec is transposable to the present operation in light of the various contractual documents binding Lacdis to ACDLec.  </w:t>
        <w:br/>
        <w:t xml:space="preserve">6. Firstly, ACDLec constitutes a company within the meaning of the provisions of Article L. 430-1 of the Commercial Code insofar as it engages in an economic activity consisting notably, according to the provisions of its statutes, in (i) defining the signboard policy, (ii) protecting and promoting the "E. Leclerc Distributor Center" signboard, (iii) controlling either for itself or on behalf of any commercial company grouping the E. Leclerc distributor centers, the conditions for the management of the latter or of the associated E. Leclerc centers, and (iv) contributing to the creation of any organization likely to promote the activity, solidarity, and security of its members.  </w:t>
        <w:br/>
        <w:t>7. Secondly, the holding by ACDLec of joint control over the company Lacdis at the conclusion of the operation arises from a set of indicators based notably on the possibility for ACDLec to intervene in the appointment and dismissal of the president of these companies and the members of their steering committee, in the commercial policy of the store owned by the operating company, and in the share transfers of the latter.</w:t>
      </w:r>
    </w:p>
    <w:p>
      <w:r>
        <w:t xml:space="preserve">The possibility to intervene in the appointment and dismissal of the president of the company Lacdis  </w:t>
        <w:br/>
        <w:t xml:space="preserve">8. ACDLec will have a veto right over the appointment and exercise of the functions of the president of the company Lacdis. The statutes of this company provide for the appointment of a steering committee composed of three to ten members appointed by the ordinary general assembly. The draft sponsorship contract mentions the composition of the steering committee. The steering committee is "invested with the broadest powers to assist the President of the company in the management of the company" and decisions concerning several strategic issues (decisions relating to loans, investments, securities, decisions to take or transfer any direct or indirect interests in any companies, decisions concerning all operations relating to real estate) can only be made by the president with the authorization of the steering committee.  </w:t>
        <w:br/>
        <w:t xml:space="preserve">9. It follows from these stipulations that ACDLec is able to exercise, through the steering committee of the company Lacdis, control over the latter. The members of the steering committee, in addition to the Despreaux spouses, are the two sponsors, Messrs. Philippe Beaudoin and Pascal Beaudoin, who respectively manage the companies Cauffridis and Société Ouennaise de Distribution, operating an E. Leclerc center, and are therefore linked to ACDLec by signboard contracts. They have concluded a sponsorship agreement with the Despreaux spouses for Lacdis, which grants them the status of "sponsors." The sponsors thus provide their endorsement to the Despreaux spouses within the framework of the said agreement, which states that, in return, the sponsored parties undertake notably "to comply with and observe in the most scrupulous manner the internal operating rules of the E. Leclerc Movement." Furthermore, the sponsorship agreement prohibits the Despreaux spouses from proposing and voting for the dismissal or eviction of the sponsor members of the steering committee without incurring their personal liability, in which case "all sanctions provided for within the framework of the Movement, by the various texts and regulations governing its Members, the statutes of ACDLec and the Central Purchasing Office, Sponsorship Contract, Promise of transfer of social rights, etc." would then apply. If the company Lacdis has not yet been subject to a sponsorship agreement, it is nonetheless intended to affiliate with the E. Leclerc movement. Indeed, the partners of Lacdis are the same individuals as the sponsors mentioned in the sponsorship agreement. Furthermore, the statutes of the company Lacdis mention a mandatory direct or indirect affiliation "to all structures of the E. Leclerc movement and to support its development within the framework of the cooperative spirit that characterizes it."  </w:t>
        <w:br/>
        <w:t>10. More generally, only members of ACDLec (or the operating companies they manage) can operate a store under the E. Leclerc brand, join Galec or a general supply cooperative of the E. Leclerc movement, or be a sponsor of another member of ACDLec, this status implying that one must hold a signboard (or brand) contract signed with ACDLec granting the right to use the E. Leclerc signboard. Insofar as ACDLec is not obliged to grant this right to use the E. Leclerc signboard, nor to justify its possible refusals, and where it can withdraw this right to use the E. Leclerc signboard in accordance with the stipulations of the signboard contract or the statutes of ACDLec, the statutes of ACDLec only mention, in this regard, conditions precedent to membership, without ACDLec being obliged to grant the right to use the E. Leclerc signboard if these conditions are met. The same applies to the charter of members of the E. Leclerc movement, which also only mentions conditions precedent to membership.</w:t>
      </w:r>
    </w:p>
    <w:p>
      <w:r>
        <w:rPr>
          <w:b/>
        </w:rPr>
        <w:t>[Pages 4–6]</w:t>
      </w:r>
    </w:p>
    <w:p>
      <w:r>
        <w:t>signs that leave it a very wide margin of appreciation13, the ACDLec can control the appointment of the president, but also that of the members of the Lacdis steering committee.</w:t>
      </w:r>
    </w:p>
    <w:p>
      <w:r>
        <w:t>Intervention in the commercial policy of operating companies</w:t>
        <w:br/>
        <w:t>11. The ACDLec14 imposes, in the signage contracts, in the charter of members of the E. Leclerc movement15, and in directives disseminated by its regional delegates who ensure their proper application16, two sets of obligations. These obligations significantly limit the autonomy of members in conducting their commercial policy. In this case, these obligations are binding on Mr. Despreaux as president of Lacdis as well as a signatory, with the ACDLec, of the signage contract17.</w:t>
      </w:r>
    </w:p>
    <w:p>
      <w:r>
        <w:t>12. Firstly, the association receives communication of all documents necessary for the assessment of the commercial operation of the stores by their managers. Members must therefore submit their balance sheet and income statement each year, as well as, monthly, the turnover of the previous month18.</w:t>
      </w:r>
    </w:p>
    <w:p>
      <w:r>
        <w:t>13. Secondly, the ACDLec also imposes, in the signage contracts, obligations that confer on it a determining role for the commercial strategy of the stores. These contracts indeed provide that members cannot apply margins higher than those practiced for wholesale sales and that, in any case, members commit "never to apply a margin higher than those recommended by the ACDLec"19. However, the setting of the margin rate is the essential element that conditions the commercial profitability of a large distribution brand. The charter of members of the ACDLec expressly states that each member is required to respect the pricing policy of the E. Leclerc movement, which constitutes "an essential element of membership in the ACDLec. [...] The average index objective to be achieved to ensure the overall competitiveness of the brand is [...]. Every member must strive towards the set objective and, in any case, have a comprehensive index at the OPUS lower than [...]. Non-compliance with this pricing rule leads to the implementation of a disciplinary procedure; a warning from the ACDLec sanctions any excess, three consecutive warnings potentially leading to expulsion from the association"20. It follows that, in practice, the ACDLec is indeed able to correct the commercial policy of the operating companies of E. Leclerc stores.</w:t>
      </w:r>
    </w:p>
    <w:p>
      <w:r>
        <w:t>14. Furthermore, the signage contracts impose on members obligations that precisely frame their supply and investments21. Companies are also required not to operate or manage any other commercial enterprise22, even if it has a similar activity. In addition to these obligations imposed by the ACDLec in the signage contracts, members of the ACDLec are required to comply with the obligations set forth in the charter of members of the E. Leclerc movement23 and by directives outlining the brand policy developed by the strategic committee of the ACDLec24, and disseminated by its regional delegates25. Any failure to comply with these obligations may justify the withdrawal of the right to use the E. Leclerc brand26.</w:t>
      </w:r>
    </w:p>
    <w:p>
      <w:r>
        <w:t>The possibility of intervening in the share transfers of operating companies</w:t>
        <w:br/>
        <w:t>15. The various statutory provisions or contractual stipulations applicable make it difficult to transfer shares of Lacdis to a person outside the E. Leclerc movement.</w:t>
      </w:r>
    </w:p>
    <w:p>
      <w:r>
        <w:t>16. Regarding share transfers, several obligations provided in the statutes of Lacdis obstruct this:</w:t>
        <w:br/>
        <w:t>- any total or partial transfer of shares held by a partner must be subject to a "prior offer of transfer to the partners"27; and</w:t>
        <w:br/>
        <w:t>- if the other partners have not expressed their intention to acquire the shares within two years after the presentation of the prior offer of transfer, the transferor may contract with a third party, subject to notifying the transfer to each of the partners, who then have a period of 30 days to indicate whether they intend to exercise their right of preemption. Failing a response within this period, they are deemed to have waived their right to acquire the transferred shares28.</w:t>
      </w:r>
    </w:p>
    <w:p>
      <w:r>
        <w:t>17. Overall, it follows from all of the above, and notably from the possibility for the ACDLec to intervene in the administration and commercial policy, as well as in the share transfers of Lacdis, that the ACDLec has the ability to exert a determining influence over the latter.</w:t>
      </w:r>
    </w:p>
    <w:p>
      <w:r>
        <w:t>B. THE TRANSACTION</w:t>
        <w:br/>
        <w:t>18. The transaction, formalized by a share transfer agreement dated October 25, 2016, involves the acquisition by Lacdis of the shares of Sodix, which operates a hypermarket under the Auchan brand in Lacroix-Saint-Ouen (60). The company Lacdis, created for the transaction, is a simplified joint-stock company under provisions in accordance with the E. Leclerc standard statutes described above, a member of ACDLec, not holding an E. Leclerc signboard contract. The purchasing center of E. Leclerc distributor centers Scapnor, the operating companies Cauffridis and Société Ouennaise de distribution, and Mr. Pascal Beaudoin, each holding one share in the capital of Lacdis, as part of the sponsorship described in the previous developments, the ACDLec will be able to exercise joint control over the new company.</w:t>
      </w:r>
    </w:p>
    <w:p>
      <w:r>
        <w:t>19. Insofar as it results in the joint control of the target store by Lacdis alongside the ACDLec, the transaction constitutes a concentration within the meaning of Article L. 430-1 of the Commercial Code.</w:t>
      </w:r>
    </w:p>
    <w:p>
      <w:r>
        <w:t>20. The companies concerned operate retail stores and together achieve a total worldwide turnover excluding taxes of more than 75 million euros (E. Leclerc movement: 21.9 billion euros for the fiscal year ending December 31, 201429; Despreaux spouses: 27.8 million euros for the fiscal year ending December 31, 2015; Sodix: 41.3 million euros for the same fiscal year). At least two of these companies achieve a turnover in France exceeding 15 million euros in the retail sector (E. Leclerc movement: 21.1 billion euros for the fiscal year ending December 31, 201430; Despreaux spouses: 27.8 million euros for the fiscal year ending January 31, 2015; Sodix: 41.3 million euros for the same fiscal year). Given these turnover figures, the transaction does not fall under the jurisdiction of the European Union. On the other hand, the control thresholds mentioned in II of Article L. 430-2 of the Commercial Code are exceeded. This transaction is therefore subject to the provisions of Articles L. 430-3 and following of the Commercial Code relating to economic concentrations.</w:t>
      </w:r>
    </w:p>
    <w:p>
      <w:r>
        <w:rPr>
          <w:b/>
        </w:rPr>
        <w:t>[Pages 7–9]</w:t>
      </w:r>
    </w:p>
    <w:p>
      <w:r>
        <w:t xml:space="preserve">II. DELIMITATION OF RELEVANT MARKETS  </w:t>
        <w:br/>
        <w:t xml:space="preserve">A. UPSTREAM SUPPLY MARKETS  </w:t>
        <w:br/>
        <w:t xml:space="preserve">1. PRODUCT MARKETS  </w:t>
        <w:br/>
        <w:t xml:space="preserve">21. With regard to supply markets, the European Commission31 has recognized the existence of nationally sized markets by major product groups, a delimitation followed by national authorities32.  </w:t>
        <w:br/>
        <w:t xml:space="preserve">22. There is no reason to challenge this delimitation in the context of the present operation.  </w:t>
        <w:br/>
        <w:t xml:space="preserve">2. GEOGRAPHICAL MARKETS  </w:t>
        <w:br/>
        <w:t xml:space="preserve">23. From a geographical perspective, the consistent decision-making practice of competition authorities considers that supply markets are of national dimension33.  </w:t>
        <w:br/>
        <w:t xml:space="preserve">24. There is no reason to challenge the decision-making practice in the context of the present operation.  </w:t>
        <w:br/>
        <w:t xml:space="preserve">B. DOWNSTREAM MARKETS FOR FOOD-RELATED RETAIL DISTRIBUTION  </w:t>
        <w:br/>
        <w:t xml:space="preserve">1. PRODUCT MARKETS  </w:t>
        <w:br/>
        <w:t xml:space="preserve">25. With regard to the retail sale of everyday consumer goods, decision-making34 distinguishes six categories of retail trade in everyday consumer goods, using several criteria, including store size, sales techniques, accessibility, the nature of the service provided, and the range of products offered: (i) hypermarkets (food-dominant stores with a legal sales area greater than 2,500 m²), (ii) supermarkets (between 400 and 2,500 m²), (iii) specialized trade, (iv) small retail (less than 400 m²), (v) discount stores, (vi) mail order. However, the decision-making practice specifies that the area thresholds should be used with caution and may be adapted to the specific case, as stores whose area is near a threshold, either below or above, may be in direct competition with stores of another category.  </w:t>
        <w:br/>
        <w:t xml:space="preserve">31 See, for example, the European Commission decisions M.1684 Carrefour / Promodès of January 25, 2000, and M.2115 Carrefour / GB of September 28, 2000.  </w:t>
        <w:br/>
        <w:t xml:space="preserve">32 See in particular the decisions of the minister responsible for the economy in the food-related retail distribution sector: C2005-98 Carrefour/Penny Market of November 10, 2005, C2006-15 Carrefour/Groupe Hamon of April 14, 2006, C2007-172 concerning the creation of the joint venture Plamidis of February 13, 2008, and C2008-32 Carrefour/SAGC of July 9, 2008, as well as the decisions of the Competition Authority No. 11-DCC-45 of March 18, 2011, concerning the acquisition of exclusive control of the business of the Cora Desmarais hypermarket by Sodex Desmarais, and decisions No. 13-DCC-12 and No. 13-DCC-112 mentioned above.  </w:t>
        <w:br/>
        <w:t xml:space="preserve">33 See in particular the decisions COMP/M.1684 and COMP/M.4096 mentioned above and the decisions of the Competition Authority No. 12-DCC-63 of May 9, 2012, concerning the acquisition of exclusive control of Guyenne et Gascogne SA by Carrefour SA and No. 14-DCC-173 of November 21, 2014, concerning the acquisition of exclusive control of Dia France SAS by Carrefour France SAS.  </w:t>
        <w:br/>
        <w:t>34 See, for example, decisions No. 14-DCC-173 and No. 12-DCC-63 mentioned above and the decisions of the Competition Authority No. 13-DCC-90 of July 11, 2013, concerning the acquisition of exclusive control of Monoprix by Casino Guichard-Perrachon and No. 13-DCC-71 of June 24, 2013, concerning the acquisition of exclusive control of the business of financial RSV by Carrefour.</w:t>
      </w:r>
    </w:p>
    <w:p>
      <w:r>
        <w:t xml:space="preserve">26. Competition authorities consider that, while each category of store retains its specificity, there is asymmetric competition between certain of these categories. For the province, they thus distinguish35: (i) a market comprising only hypermarkets, and (ii) a market comprising supermarkets and equivalent forms of trade (hypermarkets, hard-discount, and popular stores) excluding small retail (less than 400 m²).  </w:t>
        <w:br/>
        <w:t xml:space="preserve">27. In this case, the target point of sale operated by Sodix is a hypermarket with a sales area of 4,993 m². The operation will therefore be analyzed in the hypermarket market.  </w:t>
        <w:br/>
        <w:t xml:space="preserve">2. GEOGRAPHICAL MARKETS  </w:t>
        <w:br/>
        <w:t xml:space="preserve">28. Competition authorities have examined the effects of concentrations in the food-related retail distribution sector at the local level, corresponding to the catchment area associated with each store, the extent of which is dependent on the travel time for the consumer.  </w:t>
        <w:br/>
        <w:t xml:space="preserve">29. The Competition Authority has emphasized that, for stores with an area greater than 400 m², competitive conditions are assessed in two different areas:  </w:t>
        <w:br/>
        <w:t xml:space="preserve">- a first market where the demand from consumers in an area meets the supply of hypermarkets that they can access within 30 minutes of travel by car and which are, from their perspective, substitutable with each other,  </w:t>
        <w:br/>
        <w:t xml:space="preserve">- and a second market where the demand from consumers meets the supply of supermarkets and equivalent forms of trade located within 15 minutes of travel by car. These latter forms of trade may include, in addition to supermarkets, hypermarkets located near consumers and discount stores36.  </w:t>
        <w:br/>
        <w:t xml:space="preserve">30. The Authority considers that the competitive analysis only pertains to the first market when the target store is a hypermarket, the second market being taken into account only when the target store is a supermarket37.  </w:t>
        <w:br/>
        <w:t xml:space="preserve">31. However, the Authority consistently specifies that these delimitations may evolve on a case-by-case basis, depending on the characteristics of the local area, as other criteria may be taken into account to assess the impact of a concentration on the competitive situation in retail distribution markets, which may lead to refining, in the specific case, the usual delimitations presented above.  </w:t>
        <w:br/>
        <w:t xml:space="preserve">32. In this case, given the characteristics of the target store, the analysis will focus on the area including the target hypermarket and competing hypermarkets located within 30 minutes of travel by car.  </w:t>
        <w:br/>
        <w:t xml:space="preserve">35 See, for example, decisions No. 12-DCC-63, No. 13-DCC-90, and No. 14-DCC-173 mentioned above.  </w:t>
        <w:br/>
        <w:t xml:space="preserve">36 Id.  </w:t>
        <w:br/>
        <w:t>37 See decision No. 14-DCC-173 mentioned above.</w:t>
      </w:r>
    </w:p>
    <w:p>
      <w:r>
        <w:t xml:space="preserve">III. COMPETITIVE ANALYSIS  </w:t>
        <w:br/>
        <w:t xml:space="preserve">A. UPSTREAM SUPPLY MARKET  </w:t>
        <w:br/>
        <w:t xml:space="preserve">33. With regard to the upstream supply market, the operation concerns only one store whose total purchase amount represents an extremely marginal share of the supply market. The purchasing power of the E. Leclerc movement is therefore not likely to be strengthened, across all products as well as by product categories, as a result of the operation.  </w:t>
        <w:br/>
        <w:t xml:space="preserve">B. DOWNSTREAM MARKET FOR FOOD-RELATED DISTRIBUTION  </w:t>
        <w:br/>
        <w:t xml:space="preserve">34. With regard to the downstream distribution market, the target store is a hypermarket operated under the Auchan brand, with an area of 4,993 m², located in Lacroix Saint-Ouen (60).  </w:t>
        <w:br/>
        <w:t xml:space="preserve">35. In the market comprising hypermarkets located within a 30-minute drive around the target store, it represents 7.6% of sales areas, while hypermarkets of the same brand present in the area represent 15.7%. The market shares of the E. Leclerc brand are therefore 23.3% in the area concerned. Stores under the E. Leclerc brand face competition from four different brands: Intermarché (27.7%), Auchan (22.9%), Carrefour (20.8%), and Système U (5.3%).  </w:t>
        <w:br/>
        <w:t>36. Consequently, the operation is not likely to harm competition in the downstream food-related distribution market in the Lacroix-Saint-Ouen area.</w:t>
      </w:r>
    </w:p>
    <w:p>
      <w:r>
        <w:t xml:space="preserve">DECIDES  </w:t>
        <w:br/>
        <w:t xml:space="preserve">Single Article: The operation notified under number 16-246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