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https://www.autoritedelaconcurrence.fr/fr/decision-de-controle-des-concentrations/relative-la-prise-de-controle-conjoint-dun-fonds-de-20</w:t>
      </w:r>
    </w:p>
    <w:p>
      <w:r>
        <w:t>Pages translated : 6</w:t>
      </w:r>
    </w:p>
    <w:p/>
    <w:p>
      <w:r>
        <w:rPr>
          <w:b/>
        </w:rPr>
        <w:t>[Pages 1–3]</w:t>
      </w:r>
    </w:p>
    <w:p>
      <w:r>
        <w:t xml:space="preserve">FRENCH REPUBLIC  </w:t>
        <w:br/>
        <w:t xml:space="preserve">Decision No. 19-DCC-68 of April 17, 2019  </w:t>
        <w:br/>
        <w:t xml:space="preserve">regarding the joint control of a retail business with a food dominance by the company Roubaix-dis alongside the Association of E. Leclerc Distributor Centers  </w:t>
        <w:br/>
        <w:t xml:space="preserve">The Competition Authority,  </w:t>
        <w:br/>
        <w:t xml:space="preserve">Having regard to the notification file submitted in full to the merger service on March 13, 2019, regarding the joint control of a retail business with a food dominance by the company Roubaix-dis alongside the Association of E. Leclerc Distributor Centers, formalized by a purchase promise for the business dated February 14, 2019, concluded between the company Tilloy Expansion and the company Distribution Casino France and by the substitution declaration dated March 21, 2019, by which the company Roubaix-dis substitutes itself for the company Tilloy Expansion;  </w:t>
        <w:br/>
        <w:t xml:space="preserve">Having regard to Book IV of the Commercial Code relating to price freedom and competition, and in particular its Articles L. 430-1 to L. 430-7;  </w:t>
        <w:br/>
        <w:t xml:space="preserve">Having regard to the supplementary elements transmitted by the notifying parties during the investigation;  </w:t>
        <w:br/>
        <w:t xml:space="preserve">Adopts the following decision:  </w:t>
        <w:br/>
        <w:t xml:space="preserve">I. The concerned companies and the operation  </w:t>
        <w:br/>
        <w:t xml:space="preserve">A. THE CONCERNED COMPANIES  </w:t>
        <w:br/>
        <w:t xml:space="preserve">1. THE ACQUIRERS AND THE TARGET  </w:t>
        <w:br/>
        <w:t>1. The company Roubaix-dis (hereinafter "Roubaix-dis") is a simplified joint-stock company, created for the needs of the operation, whose purpose is the operation of a retail commercial establishment. It is controlled by Mr. Pocher, who also operates a hypermarket under the E. Leclerc brand, located in Wattrelos (59).</w:t>
      </w:r>
    </w:p>
    <w:p>
      <w:r>
        <w:t>2. The Association of E. Leclerc Distributor Centers (hereinafter, the "ACDLec") is the body that defines the strategy of the E. Leclerc movement, to which all individuals who manage E. Leclerc store operating companies are members. The ACDLec notably determines the conditions for approval to the E. Leclerc movement and signs the brand contracts (or "signboard contracts") that must be held by the operators of E. Leclerc retail stores.</w:t>
      </w:r>
    </w:p>
    <w:p>
      <w:r>
        <w:t xml:space="preserve">3. The target store is a hypermarket operated under the Géant Casino brand, located in Roubaix (59), with a sales area of 8,261 m², owned by the company Distribution Casino France (hereinafter, "DCF"), a subsidiary of the company Casino Guichard-Perrachon.  </w:t>
        <w:br/>
        <w:t xml:space="preserve">2. CONTROL OF THE CONCERNED ENTITIES  </w:t>
        <w:br/>
        <w:t>4. It is argued in the notification file of the operation that the ACDLec does not exercise any control over Roubaix-dis and will not exercise any control over the target store after the operation. According to the notifying parties, the latter would therefore be exclusively controlled by Mr. Pocher and the notified operation would consist of the exclusive control of the target store by Mr. Pocher, through Roubaix-dis.</w:t>
      </w:r>
    </w:p>
    <w:p>
      <w:r>
        <w:t xml:space="preserve">5. Nevertheless, at the end of the operation, the target business will be held by Roubaix-dis, which is jointly controlled, within the meaning of merger law, by the ACDLec and Mr. Pocher. Indeed, as the Competition Authority has noted in previous decisions1, the obligations that the ACDLec imposes on the operating companies of E. Leclerc stores, such as Roubaix-dis, allow it to exercise a determining influence over them. This analysis of the determining influence exercised by the ACDLec is transposable to the present operation, in view of the contractual documents binding Roubaix-dis to the ACDLec2.  </w:t>
        <w:br/>
        <w:t xml:space="preserve">B. THE OPERATION  </w:t>
        <w:br/>
        <w:t xml:space="preserve">6. The operation, formalized by a purchase promise for the business dated February 14, 2019, between the company Tilloy Expansion and DCF, as well as by the substitution declaration dated March 21, 2019, by which Roubaix-dis substitutes itself for the company Tilloy Expansion, consists of the acquisition by Roubaix-dis of the hypermarket under the Géant Casino brand located at 21 bis, Grand Rue in Roubaix (59). Roubaix-dis, created for the needs of the operation, is a simplified joint-stock company in accordance with the provisions of the standard E. Leclerc statutes described above, a member of the ACDLec and holder of an E. Leclerc signboard contract through Mr. Pocher. The purchasing center of the E. Leclerc distributor centers Scapartois, the operating companies Amandis, Caudis Exploitation, Courceldis, Deta Distribution, Lianoudis, Rivery Exploitation, Sodidouai, Sodiloison, and Mr. Le Côme, each holding one share in the capital of the company Roubaix-dis,  </w:t>
        <w:br/>
        <w:t xml:space="preserve">1 See the decisions of the Competition Authority No. 16-DCC-14 of January 29, 2016, regarding the joint control of a retail store with a food dominance by the company Attindis alongside the Association of E. Leclerc Distributor Centers, No. 16-DCC-53 of April 15, 2016, regarding the joint control of a retail business with a food dominance under the E. Leclerc brand by Mr. and Mrs. Bernard alongside the Association of E. Leclerc Distributor Centers, No. 16-DCC-211 of December 13, 2016, regarding the joint control of a business of the company Sodix by the ACDLec alongside the company Lacdis, and 19-DCC-63 of April 9, 2019, regarding the joint control of a retail business with a food dominance by the company Thegadis alongside the Association of E. Leclerc Distributor Centers.  </w:t>
        <w:br/>
        <w:t>2 See paragraphs 6 to 17 of decision No. 19-DCC-63 of April 9, 2019, regarding the joint control of a retail business with a food dominance by the company Thegadis alongside the Association of E. Leclerc Distributor Centers.</w:t>
      </w:r>
    </w:p>
    <w:p>
      <w:r>
        <w:t xml:space="preserve">including several under the sponsorship described in points 9 and 10 of decision 19-DCC-63, which also apply to the present situation, the ACDLec will be able to exercise joint control over the new company.  </w:t>
        <w:br/>
        <w:t xml:space="preserve">7. As it results in the joint control of the target store by Roubaix-dis alongside the ACDLec, the operation constitutes a concentration within the meaning of Article L. 430-1 of the Commercial Code.  </w:t>
        <w:br/>
        <w:t xml:space="preserve">8. The companies concerned operate retail stores and together achieve a total worldwide turnover excluding taxes of more than 75 million euros (E. Leclerc movement: [≥ 75 million] euros for the fiscal year ending December 31, 20173; Mr. Pocher: [≥ 75 million] euros for the fiscal year ending December 31, 2017; the target: [≤ 75 million] euros for the fiscal year ending December 31, 2017). At least two of these companies achieve in France a turnover exceeding 15 million euros in the retail sector (E. Leclerc movement: [≥ 15 million] euros for the fiscal year ending December 31, 20174; Mr. Pocher: [≥ 15 million] euros for the fiscal year ending December 31, 2017; the target: [≥ 15 million] euros for the fiscal year ending December 31, 2017). Given these turnover figures, the operation does not fall under the jurisdiction of the European Union. On the other hand, the control thresholds related to retail mentioned in II of Article L. 430-2 of the Commercial Code are exceeded. This operation is therefore subject to the provisions of Articles L. 430-3 and following of the Commercial Code relating to economic concentrations.  </w:t>
        <w:br/>
        <w:t xml:space="preserve">II. Delimitation of the relevant markets  </w:t>
        <w:br/>
        <w:t xml:space="preserve">A. THE UPSTREAM SUPPLY MARKETS  </w:t>
        <w:br/>
        <w:t xml:space="preserve">1. PRODUCT MARKETS  </w:t>
        <w:br/>
        <w:t xml:space="preserve">9. Regarding the supply markets, the European Commission5 has recognized the existence of markets of national dimension by major product groups, a delimitation followed by national authorities6.  </w:t>
        <w:br/>
        <w:t xml:space="preserve">10. There is no reason to challenge this delimitation on the occasion of the present operation.  </w:t>
        <w:br/>
        <w:t xml:space="preserve">3 The ACDLec exercising joint control over certain stores under the E. Leclerc brand, 50% of the turnover of the stores has been attributed to the ACDLec for the purposes of calculating turnover, in accordance with the provisions of paragraphs 186 and 187 of the consolidated communication of the European Commission.  </w:t>
        <w:br/>
        <w:t xml:space="preserve">4 The ACDLec exercising joint control over certain stores under the E. Leclerc brand, 50% of the turnover of the stores has been attributed to the ACDLec for the purposes of calculating turnover, in accordance with the provisions of paragraphs 186 and 187 of the consolidated communication of the European Commission.  </w:t>
        <w:br/>
        <w:t xml:space="preserve">5 See for example the decisions of the European Commission M.1684, Carrefour / Promodès of January 25, 2000; and M.2115, Carrefour / GB, of September 28, 2000.  </w:t>
        <w:br/>
        <w:t>6 See in particular the decisions of the minister in the retail sector with a food dominance: C2005-98 Carrefour/Penny Market of November 10, 2005, C2006-15 Carrefour/Groupe Hamon of April 14, 2006, C2007-172 regarding the creation of the joint venture Plamidis of February 13, 2008, and C2008-32 Carrefour/SAGC of July 9, 2008, as well as decisions No. 16-DCC-53 and No. 16-DCC-211 mentioned above.</w:t>
      </w:r>
    </w:p>
    <w:p>
      <w:r>
        <w:rPr>
          <w:b/>
        </w:rPr>
        <w:t>[Pages 4–6]</w:t>
      </w:r>
    </w:p>
    <w:p>
      <w:r>
        <w:t xml:space="preserve">2. GEOGRAPHIC MARKETS  </w:t>
        <w:br/>
        <w:t xml:space="preserve">11. From a geographic perspective, the consistent decision-making practice of competition authorities considers that supply markets are of national dimension7.  </w:t>
        <w:br/>
        <w:t xml:space="preserve">12. There is no reason to challenge the decision-making practice on the occasion of the present operation.  </w:t>
        <w:br/>
        <w:t xml:space="preserve">B. DOWNSTREAM MARKETS FOR RETAIL DISTRIBUTION WITH A FOOD DOMINANCE  </w:t>
        <w:br/>
        <w:t xml:space="preserve">1. PRODUCT MARKETS  </w:t>
        <w:br/>
        <w:t xml:space="preserve">13. Regarding the retail sale of everyday consumer goods, the decision-making practice8 distinguishes six categories of retail trade of everyday consumer goods, using several criteria, including the size of the stores, their sales techniques, their accessibility, the nature of the service provided, and the extent of the product ranges offered: (i) hypermarkets (stores with a food dominance with a legal sales area greater than 2,500 m²), (ii) supermarkets (between 400 and 2,500 m²), (iii) specialized trade, (iv) small retail trade (less than 400 m²), (v) maxi-discount stores, (vi) mail order sales. However, the decision-making practice specifies that the size thresholds should be used with caution and may be adapted to the specific case, as stores whose area is near a threshold, either below or above, may be in direct competition with stores of another category.  </w:t>
        <w:br/>
        <w:t xml:space="preserve">14. Competition authorities consider that, while each category of store retains its specificity, there is asymmetric competition between certain of these categories. For the province, they thus distinguish9: (i) a market comprising only hypermarkets, and (ii) a market comprising supermarkets and equivalent forms of trade (hypermarkets, hard-discount, and popular stores) excluding small retail trade (less than 400 m²).  </w:t>
        <w:br/>
        <w:t xml:space="preserve">15. In this case, the target point of sale operated by DCF under the Géant Casino brand has a sales area of 8,261 m² and therefore falls into the category of hypermarkets. The operation will thus be analyzed in the hypermarket market.  </w:t>
        <w:br/>
        <w:t xml:space="preserve">2. GEOGRAPHIC MARKETS  </w:t>
        <w:br/>
        <w:t xml:space="preserve">16. Competition authorities have examined the effects of concentrations in the food-dominant retail sector at the local level, corresponding to the catchment area associated with each store, the extent of which depends on the travel time for the consumer.  </w:t>
        <w:br/>
        <w:t xml:space="preserve">17. The Competition Authority has emphasized that, for stores with an area greater than 2,500 m², the conditions of competition are assessed over two different areas:  </w:t>
        <w:br/>
        <w:t xml:space="preserve">- a first market where the demand from consumers in one area meets the supply of hypermarkets that they can access within 30 minutes of driving and which are, from their perspective, substitutable for each other;  </w:t>
        <w:br/>
        <w:t xml:space="preserve">7 See notably decisions COMP/M.1684, COMP/M.4096, no. 16-DCC-53 and no. 16-DCC-211 cited above.  </w:t>
        <w:br/>
        <w:t xml:space="preserve">8 See, for example, decisions no. 16-DCC-53, no. 16-DCC-211 and 19-DCC-63 cited above.  </w:t>
        <w:br/>
        <w:t xml:space="preserve">9 Id.  </w:t>
        <w:br/>
        <w:t xml:space="preserve">4  </w:t>
        <w:br/>
        <w:t xml:space="preserve">- and a second market where the demand from consumers meets the supply of supermarkets and equivalent forms of trade located within 15 minutes of driving time. These latter forms of trade may include, in addition to supermarkets, hypermarkets located near consumers and discount stores10.  </w:t>
        <w:br/>
        <w:t xml:space="preserve">18. The Authority consistently specifies, however, that these delimitations may evolve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  </w:t>
        <w:br/>
        <w:t xml:space="preserve">19. In this case, the target business falling into the category of hypermarkets, the competitive analysis will be conducted on the one hand, in the market including only hypermarkets within a 30-minute radius, and on the other hand, in the market including hypermarkets, supermarkets, and equivalent forms of trade located within a 15-minute driving time around the target business.  </w:t>
        <w:br/>
        <w:t xml:space="preserve">III. Competitive Analysis  </w:t>
        <w:br/>
        <w:t xml:space="preserve">A. UPSTREAM SUPPLY MARKETS  </w:t>
        <w:br/>
        <w:t xml:space="preserve">20. Regarding the upstream supply markets, the operation concerns only one store whose total purchases represent a marginal share of the supply market11. The purchasing power of the E. Leclerc movement is therefore not likely to be strengthened, across all products as well as by product categories, as a result of the operation.  </w:t>
        <w:br/>
        <w:t xml:space="preserve">B. DOWNSTREAM DISTRIBUTION MARKETS  </w:t>
        <w:br/>
        <w:t xml:space="preserve">21. In the market including hypermarkets located in an area corresponding to a 30-minute travel time around the Roubaix hypermarket, the target store represents [0-5]% of the sales areas and the hypermarkets of the same brand present in the area represent [5-10]%, resulting in an estimated cumulative market share of [10-20]%. E. Leclerc branded stores will face competition from six competing brands: Auchan ([40-50]%), Carrefour ([20-30]%), Cora ([10-20]%), Intermarché ([5-10]%), Casino ([0-5]%) and Système U ([0-5]%).  </w:t>
        <w:br/>
        <w:t xml:space="preserve">22. In the market including supermarkets and equivalent forms of trade located within a 15-minute driving distance around the Roubaix hypermarket, the target store represents [5-10]% of the sales areas and the other points of sale of the same brand represent [5-10]%, resulting in an estimated cumulative market share of [10-20]%. E. Leclerc branded stores face competition from seven different brands: Auchan ([20-30]%), Carrefour ([20-30]%), Cora ([10-20]%), Intermarché ([10-20]%), Lidl ([5-10]%), Aldi ([5-10]%) and Casino ([5-10]%).  </w:t>
        <w:br/>
        <w:t xml:space="preserve">23. Consequently, the operation is not likely to harm competition either in the downstream distribution markets or in the upstream supply market.  </w:t>
        <w:br/>
        <w:t xml:space="preserve">DECIDES  </w:t>
        <w:br/>
        <w:t xml:space="preserve">Single Article: The operation notified under number 19-077 is authorized.  </w:t>
        <w:br/>
        <w:t xml:space="preserve">The President,  </w:t>
        <w:br/>
        <w:t xml:space="preserve">Isabelle de Silva  </w:t>
        <w:br/>
        <w:t xml:space="preserve">© Competition Authority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