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https://www.autoritedelaconcurrence.fr/fr/decision-de-controle-des-concentrations/relative-la-prise-de-controle-conjoint-dun-fonds-de-21</w:t>
      </w:r>
    </w:p>
    <w:p>
      <w:r>
        <w:t>Pages translated : 6</w:t>
      </w:r>
    </w:p>
    <w:p/>
    <w:p>
      <w:r>
        <w:rPr>
          <w:b/>
        </w:rPr>
        <w:t>[Pages 1–3]</w:t>
      </w:r>
    </w:p>
    <w:p>
      <w:r>
        <w:t xml:space="preserve">FRENCH REPUBLIC  </w:t>
        <w:br/>
        <w:t xml:space="preserve">Decision No. 19-DCC-142 of July 17, 2019  </w:t>
        <w:br/>
        <w:t>regarding the joint control of a retail business with a food dominance by the company Soco Invest alongside the Association of E. Leclerc Distributor Centers</w:t>
      </w:r>
    </w:p>
    <w:p>
      <w:r>
        <w:t xml:space="preserve">The Competition Authority,  </w:t>
        <w:br/>
        <w:t xml:space="preserve">Having regard to the notification file submitted in full to the merger service on June 28, 2019, regarding the joint control of a retail business with a food dominance by the company Soco Invest alongside the Association of E. Leclerc Distributor Centers, formalized by a bilateral promise of sale dated June 4, 2019;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A. THE CONCERNED COMPANIES  </w:t>
        <w:br/>
        <w:t xml:space="preserve">1. THE ACQUIRERS AND THE TARGET  </w:t>
        <w:br/>
        <w:t>1. Soco Invest is a simplified joint-stock company whose purpose is the operation of a retail commercial establishment. It is currently owned by the company Socohold, which is ultimately controlled by the Parfait family (hereinafter the "Parfait group"). The Parfait group consists of several companies active in Martinique and Guadeloupe, particularly in the sectors of automotive distribution, food distribution, and interior decoration. It operates two supermarkets under the U brand in Guadeloupe, located in Le Gosier (971) and Sainte-Rose (971), and three hypermarkets in Martinique (972).</w:t>
      </w:r>
    </w:p>
    <w:p>
      <w:r>
        <w:t>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"trademark licenses") which the operators of E. Leclerc retail stores must hold.</w:t>
      </w:r>
    </w:p>
    <w:p>
      <w:r>
        <w:t>3. The target store is a hypermarket operated under the Géant Casino brand, located in Guadeloupe, in Le Gosier (971), with a sales area of 5,920 m². It is owned by the company SGBF, which is controlled by the Ho Hio Hen group.</w:t>
      </w:r>
    </w:p>
    <w:p>
      <w:r>
        <w:t xml:space="preserve">2. CONTROL OF THE ENTITIES CONCERNED  </w:t>
        <w:br/>
        <w:t>4. It is argued in the notification file of the operation that the ACDLec does not exercise any control over Soco Invest and will not exercise any control over the target store following the operation. According to the notifying parties, the latter would therefore be exclusively controlled by the Parfait group and the notified operation would consist of the exclusive control of the target store by the Parfait group through Soco Invest.</w:t>
      </w:r>
    </w:p>
    <w:p>
      <w:r>
        <w:t>5. Nevertheless, following the operation, the target business will be owned by Soco Invest, which will be jointly controlled, within the meaning of merger law, by the ACDLec and the Parfait group. Indeed, as the Authority has noted in previous decisions, the obligations that the ACDLec imposes on the operating companies of E. Leclerc stores, such as Soco Invest, allow it to exert a decisive influence over them. This analysis of the decisive influence exerted by the ACDLec is transposable to the present operation, in light of the contractual documents binding Soco Invest to the ACDLec.</w:t>
      </w:r>
    </w:p>
    <w:p>
      <w:r>
        <w:t xml:space="preserve">B. THE OPERATION  </w:t>
        <w:br/>
        <w:t>6. The operation, formalized by a bilateral promise of sale of the business dated June 4, 2019, consists of the acquisition by Soco Invest of the hypermarket under the Géant Casino brand located in Le Gosier (971). Soco Invest is a simplified joint-stock company [confidential]. It is intended to hold a contract [confidential]. [Confidential] E. Leclerc [confidential].</w:t>
      </w:r>
    </w:p>
    <w:p>
      <w:r>
        <w:t xml:space="preserve">7. Insofar as it results in the joint control of the target store by Socohold alongside the ACDLec, the operation constitutes a concentration within the meaning of Article L. 430-1 of the Commercial Code.  </w:t>
        <w:br/>
        <w:t xml:space="preserve">1 Decisions of the Authority No. 16-DCC-14 of January 29, 2016, regarding the joint control of a retail store with a food dominance by the company Attindis alongside the Association of E. Leclerc Distributor Centers, No. 16-DCC-53 of April 15, 2016, regarding the joint control of a retail business with a food dominance under the E. Leclerc brand by the Bernard spouses alongside the Association of E. Leclerc Distributor Centers, No. 16-DCC-211 of December 13, 2016, regarding the joint control of a business of the company Sodix by the ACDLec alongside the company Lacdis, and No. 19-DCC-63 of April 9, 2019, regarding the joint control of a retail business with a food dominance by the company Thegadis alongside the Association of E. Leclerc Distributor Centers.  </w:t>
        <w:br/>
        <w:t xml:space="preserve">2 See paragraphs 6 to 17 of the Authority's decision No. 19-DCC-63 of April 9, 2019, regarding the joint control of a retail business with a food dominance by the company Thegadis alongside the Association of E. Leclerc Distributor Centers.  </w:t>
        <w:br/>
        <w:t>3 [Confidential], there is no doubt that the company Soco Invest is intended to be [confidential] in the E. Leclerc Movement and to appear in the future on the [confidential] E. Leclerc contract.</w:t>
      </w:r>
    </w:p>
    <w:p>
      <w:r>
        <w:t>8. The companies concerned together achieve a total worldwide turnover excluding taxes of more than 150 million euros (E. Leclerc movement: [≥ 150 million] euros for the fiscal year ending December 31, 2018; Parfait group: [≥ 150 million] euros for the same fiscal year; the target store: [≤ 150 million] euros for the same fiscal year). Two of these companies achieve a turnover in France exceeding 50 million euros (E. Leclerc movement: [≥ 50 million] euros for the fiscal year ending December 31, 2018; Parfait group: [≥ 50 million] euros for the same fiscal year; the target store: [≤ 50 million] euros for the same fiscal year).</w:t>
      </w:r>
    </w:p>
    <w:p>
      <w:r>
        <w:t>9. The notification thresholds of Article 1 paragraph 2 of Regulation (EC) 139/2004 are exceeded but since each of the concerned companies generates more than two-thirds of its turnover in the Union in France, the operation does not fall under the jurisdiction of the European Union. However, the thresholds for control related to retail trade mentioned in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THE UPSTREAM MARKETS OF SUPPLY  </w:t>
        <w:br/>
        <w:t xml:space="preserve">1. PRODUCT MARKETS  </w:t>
        <w:br/>
        <w:t>10. Regarding the supply markets, the European Commission recognizes the existence of markets of national dimension by major product groups, a delimitation followed by the national authorities.</w:t>
      </w:r>
    </w:p>
    <w:p>
      <w:r>
        <w:t>11. There is no need to challenge this delimitation in the context of the present operation.</w:t>
      </w:r>
    </w:p>
    <w:p>
      <w:r>
        <w:t xml:space="preserve">2. GEOGRAPHICAL MARKETS  </w:t>
        <w:br/>
        <w:t>12. From a geographical perspective, the consistent decision-making practice of the competition authorities considers that the supply markets are of national dimension.</w:t>
      </w:r>
    </w:p>
    <w:p>
      <w:r>
        <w:t>13. Regarding the overseas departments and regions (hereinafter "DROM"), the Authority has emphasized the specific nature of the supply circuits for consumer goods and its effects on the competitive balance of the concerned markets. Furthermore, part of the supply for retail distribution brands with a food dominance comes from local producers, in order to respond to the tastes and eating habits.</w:t>
      </w:r>
    </w:p>
    <w:p>
      <w:r>
        <w:rPr>
          <w:b/>
        </w:rPr>
        <w:t>[Pages 4–6]</w:t>
      </w:r>
    </w:p>
    <w:p>
      <w:r>
        <w:t>local costs, but also to limit import costs, including maritime freight and dock dues. Therefore, the geographical markets for supply can be limited to each DROM, on one hand, and to the Antilles-Guyana area, on the other hand.</w:t>
      </w:r>
    </w:p>
    <w:p>
      <w:r>
        <w:t>14. In this case, the parties are simultaneously active in the Antilles-Guyana area and, more specifically, in Guadeloupe.</w:t>
      </w:r>
    </w:p>
    <w:p>
      <w:r>
        <w:t>B. DOWNSTREAM MARKETS OF RETAIL DISTRIBUTION WITH A FOOD DOMINANCE</w:t>
      </w:r>
    </w:p>
    <w:p>
      <w:r>
        <w:t>1. PRODUCT MARKETS</w:t>
      </w:r>
    </w:p>
    <w:p>
      <w:r>
        <w:t>15. Regarding the retail sale of everyday consumer goods, the Authority distinguishes six categories of retail trade of everyday consumer goods, using several criteria, including the size of the stores, their sales techniques, their accessibility, the nature of the service provided, and the range of products offered: (i) hypermarkets (stores with a food dominance with a legal sales area exceeding 2,500 m²), (ii) supermarkets (between 400 and 2,500 m²), (iii) specialized trade, (iv) small retail trade (less than 400 m²), (v) maxi-discount stores, (vi) mail order. These surface thresholds must, however, be used with caution: they can be adapted to each specific case, particularly if stores whose area is near a threshold, either below or above, are in direct competition with stores of another category.</w:t>
      </w:r>
    </w:p>
    <w:p>
      <w:r>
        <w:t>16. While each category of store retains its specificity, there is asymmetric competition between certain of these categories. The Authority thus distinguishes: (i) a market comprising only hypermarkets and (ii) a market comprising supermarkets and equivalent forms of trade (hypermarkets, hard-discount, and popular stores) excluding small retail trade (less than 400 m²).</w:t>
      </w:r>
    </w:p>
    <w:p>
      <w:r>
        <w:t>17. In this case, the target store has a sales area of 5,920 m²: it therefore falls into the category of hypermarkets. The operation will thus be analyzed in the two markets defined above.</w:t>
      </w:r>
    </w:p>
    <w:p>
      <w:r>
        <w:t>2. GEOGRAPHICAL MARKETS</w:t>
      </w:r>
    </w:p>
    <w:p>
      <w:r>
        <w:t>18. The competition authorities examine the effects of concentrations in the retail distribution sector with a food dominance at the local level, which corresponds to the catchment area associated with each store and whose extent is based on the driving time for the consumer (excluding Paris).</w:t>
      </w:r>
    </w:p>
    <w:p>
      <w:r>
        <w:t>19. For stores with a surface area exceeding 2,500 m², the Authority considers that the conditions of competition are assessed in two different areas (excluding Paris):</w:t>
        <w:br/>
        <w:t>- a first market where the demand from consumers in an area meets the supply of hypermarkets that they can access within 30 minutes of driving time and which are, from their perspective, substitutable for each other;</w:t>
        <w:br/>
        <w:t>- and a second market where the demand from consumers meets the supply of supermarkets and equivalent forms of trade located within 15 minutes of driving time.</w:t>
      </w:r>
    </w:p>
    <w:p>
      <w:r>
        <w:t>20. These delimitations may, however, be refined on a case-by-case basis, depending on the characteristics of the local area, as other criteria may be taken into account to assess the impact of a concentration on competition.</w:t>
      </w:r>
    </w:p>
    <w:p>
      <w:r>
        <w:t>21. In this instance, since the target store falls into the category of hypermarkets, the operation will be analyzed in the market including only hypermarkets within a 30-minute driving radius from the target store and, on the other hand, in the market including hypermarkets, supermarkets, and equivalent forms of trade located within a 15-minute radius.</w:t>
      </w:r>
    </w:p>
    <w:p>
      <w:r>
        <w:t>III. Competitive Analysis</w:t>
      </w:r>
    </w:p>
    <w:p>
      <w:r>
        <w:t>22. The Parfait group currently operates, under the "U" brand, three hypermarkets in Martinique and two supermarkets in Guadeloupe. However, it emerges from the agreements concluded with the ACDLec that these five stores will be operated under the E. Leclerc brand [confidential]. The prospective analysis conducted by the Authority is therefore placed within this time horizon and the effects of the operation will be examined taking into account this brand change.</w:t>
      </w:r>
    </w:p>
    <w:p>
      <w:r>
        <w:t>A. UPSTREAM MARKETS OF SUPPLY</w:t>
      </w:r>
    </w:p>
    <w:p>
      <w:r>
        <w:t>1. AT THE NATIONAL LEVEL</w:t>
      </w:r>
    </w:p>
    <w:p>
      <w:r>
        <w:t>23. Regarding the upstream markets of supply, the operation concerns only one store whose total purchases represent a marginal share of the national supply market.</w:t>
      </w:r>
    </w:p>
    <w:p>
      <w:r>
        <w:t>24. The purchasing power of the E. Leclerc movement and the Parfait group is therefore not likely to be strengthened, across all products as well as by product categories, as a result of the operation.</w:t>
      </w:r>
    </w:p>
    <w:p>
      <w:r>
        <w:t>2. AT THE LOCAL LEVEL</w:t>
      </w:r>
    </w:p>
    <w:p>
      <w:r>
        <w:t>25. At the local level, the purchasing power of the E. Leclerc movement and the Parfait group is strengthened by the acquisition of the target store. However, the combined market shares of the parties are below 25%, regardless of the segmentation used.</w:t>
      </w:r>
    </w:p>
    <w:p>
      <w:r>
        <w:t>B. DOWNSTREAM MARKETS OF DISTRIBUTION</w:t>
      </w:r>
    </w:p>
    <w:p>
      <w:r>
        <w:t>26. In the market comprising hypermarkets located within a driving area of 30 minutes from the target hypermarket, the operation does not result in any overlap between the parties, as neither the E. Leclerc movement nor the Parfait group operates a hypermarket in this area.</w:t>
      </w:r>
    </w:p>
    <w:p>
      <w:r>
        <w:t>27. In the market comprising hypermarkets, supermarkets, and equivalent forms of trade located within a driving area of 15 minutes from the target hypermarket, the operation results in an overlap with another store, which will be operated by the Parfait group under the E. Leclerc brand [confidential]. The market shares of the E. Leclerc movement and the Parfait group in this area will, however, be below [10-20]% (including [10-20]% for the target store).</w:t>
      </w:r>
    </w:p>
    <w:p>
      <w:r>
        <w:t>28. The Authority notes that these local markets are characterized by the presence of several competing brands, such as Carrefour ([40-50]%), Système U ([10-20]%), Leader Price ([5-10]%), or Écomax ([5-10]%), and that the operation does not have the effect of depriving consumers of an alternative offer.</w:t>
      </w:r>
    </w:p>
    <w:p>
      <w:r>
        <w:t>29. Therefore, the operation is not likely to harm competition either in the downstream distribution markets or in the upstream supply markets.</w:t>
      </w:r>
    </w:p>
    <w:p>
      <w:r>
        <w:t>DECIDES</w:t>
      </w:r>
    </w:p>
    <w:p>
      <w:r>
        <w:t>Sole Article: The operation notified under number 19-154 is authorized.</w:t>
      </w:r>
    </w:p>
    <w:p>
      <w: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