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https://www.autoritedelaconcurrence.fr/fr/decision-de-controle-des-concentrations/relative-la-prise-de-controle-conjoint-dun-fonds-de-22</w:t>
      </w:r>
    </w:p>
    <w:p>
      <w:r>
        <w:t>Pages translated : 2</w:t>
      </w:r>
    </w:p>
    <w:p/>
    <w:p>
      <w:r>
        <w:rPr>
          <w:b/>
        </w:rPr>
        <w:t>[Pages 1–2]</w:t>
      </w:r>
    </w:p>
    <w:p>
      <w:r>
        <w:t xml:space="preserve">FRENCH REPUBLIC  </w:t>
        <w:br/>
        <w:t xml:space="preserve">Decision No. 20-DCC-107 of August 25, 2020  </w:t>
        <w:br/>
        <w:t xml:space="preserve">regarding the joint control acquisition of a car dealership business by the companies Car avenue France and Grand Est Automobiles  </w:t>
        <w:br/>
        <w:t xml:space="preserve">The Competition Authority,  </w:t>
        <w:br/>
        <w:t xml:space="preserve">Having regard to the complete notification file submitted to the mergers department on July 29, 2020, concerning the joint control acquisition of a car dealership business by the companies Car avenue France and Grand Est Automobiles, formalized by a synallagmatic promise of sale and acquisition of business assets dated July 23,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Car avenue France and Grand Est Automobile, through the company ACAP DS Mulhouse, of a car dealership business under the brands DS, Citroën, and Peugeot operating its activity in Illzach (68) and Saint-Louis (68).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20-136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