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https://www.autoritedelaconcurrence.fr/fr/decision-de-controle-des-concentrations/relative-la-prise-de-controle-conjoint-dun-fonds-de-23</w:t>
      </w:r>
    </w:p>
    <w:p>
      <w:r>
        <w:t>Pages translated : 59</w:t>
      </w:r>
    </w:p>
    <w:p/>
    <w:p>
      <w:r>
        <w:rPr>
          <w:b/>
        </w:rPr>
        <w:t>[Pages 1–3]</w:t>
      </w:r>
    </w:p>
    <w:p>
      <w:r>
        <w:t>FRENCH REPUBLIC</w:t>
        <w:br/>
        <w:t>Decision No. 20-DCC-116 of August 28, 2020</w:t>
        <w:br/>
        <w:t>regarding the joint control of a retail business predominantly focused on food by the company Soditroy alongside the Association of E. Leclerc Distribution Centers</w:t>
      </w:r>
    </w:p>
    <w:p>
      <w:r>
        <w:t>The Competition Authority,</w:t>
      </w:r>
    </w:p>
    <w:p>
      <w:r>
        <w:t>Having regard to the notification file sent to the merger service on July 11, 2019, and declared complete on September 2, 2019, concerning the joint control of a retail business predominantly focused on food by the company Soditroy alongside the Association of E. Leclerc Distribution Centers, formalized by a purchase promise for the business dated June 3, 2019, between the company Scapinvest and the company Distribution Casino France, as well as by the substitution declaration of June 6, 2019, whereby Soditroy substitutes itself for the company Scapinvest;</w:t>
      </w:r>
    </w:p>
    <w:p>
      <w:r>
        <w:t>Having regard to Book IV of the Commercial Code relating to the freedom of prices and competition, and in particular its Articles L. 430-1 to L. 430-7;</w:t>
      </w:r>
    </w:p>
    <w:p>
      <w:r>
        <w:t>Having regard to Decision No. 19-DEX-02 of October 24, 2019, opening an in-depth examination pursuant to the last paragraph of III of Article L. 430-5 of the Commercial Code;</w:t>
      </w:r>
    </w:p>
    <w:p>
      <w:r>
        <w:t>Having regard to the observations presented by the representatives of Soditroy and the Association of E. Leclerc Distribution Centers on July 3, 2020, in response to the report of the investigation services dated June 12, 2020;</w:t>
      </w:r>
    </w:p>
    <w:p>
      <w:r>
        <w:t>Having regard to the note in deliberation of July 22, 2020, submitted by the representatives of the companies Soditroy and the Association of E. Leclerc Distribution Centers;</w:t>
      </w:r>
    </w:p>
    <w:p>
      <w:r>
        <w:t>Having regard to the commitments presented on August 4, 2020, by the representatives of the companies Soditroy and the Association of E. Leclerc Distribution Centers;</w:t>
      </w:r>
    </w:p>
    <w:p>
      <w:r>
        <w:t>Having regard to the other documents in the file;</w:t>
      </w:r>
    </w:p>
    <w:p>
      <w:r>
        <w:t>The rapporteurs, the deputy general rapporteur, the Government Commissioner, and the representatives of the company Soditroy and the Association of E. Leclerc Distribution Centers heard during the session of July 16, 2020;</w:t>
      </w:r>
    </w:p>
    <w:p>
      <w:r>
        <w:t>The witnesses heard on the basis of the provisions of Article L. 430-6, paragraph 3, of the Commercial Code;</w:t>
      </w:r>
    </w:p>
    <w:p>
      <w:r>
        <w:t>Adopts the following decision:</w:t>
      </w:r>
    </w:p>
    <w:p>
      <w:r>
        <w:t>Summary</w:t>
        <w:br/>
        <w:t>By the terms of the decision below, the Authority examined the joint control of a food-focused retail business of hypermarket type, operated under the Géant Casino brand and located in Barberey-Saint-Sulpice (10), by the Association of E. Leclerc Distribution Centers (hereinafter "ACDLec") alongside the company Soditroy.</w:t>
      </w:r>
    </w:p>
    <w:p>
      <w:r>
        <w:t>The notifying parties jointly control several food-focused retail outlets under the E. Leclerc brand in the Troyes urban area, including a hypermarket located in the municipality of Saint-Parres-aux-Tertres (10).</w:t>
      </w:r>
    </w:p>
    <w:p>
      <w:r>
        <w:t>During an in-depth analysis, which included conducting two surveys among consumers of the Géant Casino and E. Leclerc hypermarkets, the Authority analyzed, on the one hand, the definition of retail markets focused on food in the Troyes urban area and, on the other hand, studied the effects of the operation on these markets.</w:t>
      </w:r>
    </w:p>
    <w:p>
      <w:r>
        <w:t>Ultimately, the Authority considered that its consistent decision-making practice regarding food-focused retail distribution was still applicable within the Troyes urban area.</w:t>
      </w:r>
    </w:p>
    <w:p>
      <w:r>
        <w:t>Regarding the market for the retail distribution of food-focused products composed solely of hypermarkets, the Authority identified a significant risk of harm to competition through coordinated effects. Indeed, the operation results in the creation of a collective dominant position increasing the incentives and capabilities of the parties to maintain a collusive equilibrium in this market.</w:t>
      </w:r>
    </w:p>
    <w:p>
      <w:r>
        <w:t>The Authority also considered that there are risks of unilateral price increases in the Géant Casino hypermarket and in the E. Leclerc hypermarket held by the parties.</w:t>
      </w:r>
    </w:p>
    <w:p>
      <w:r>
        <w:t>In accordance with Article L. 430-6 of the Commercial Code, the Authority examined whether the operation provided a sufficient contribution to economic progress relative to the identified harms to competition and concluded that the gains were insufficient to offset the competitive risks.</w:t>
      </w:r>
    </w:p>
    <w:p>
      <w:r>
        <w:t>The commitments presented by the parties were not deemed sufficient to eliminate the competitive risks resulting from the operation.</w:t>
      </w:r>
    </w:p>
    <w:p>
      <w:r>
        <w:t xml:space="preserve">Consequently, the Authority prohibits the operation. </w:t>
        <w:br/>
        <w:t>This summary is purely informative. Only the reasons for the decision numbered below are authoritative.</w:t>
      </w:r>
    </w:p>
    <w:p>
      <w:r>
        <w:t>I. THE PARTIES AND THE OPERATION .......................................................................................... 5</w:t>
        <w:br/>
        <w:t>A. The companies concerned .......................................................................................... 5</w:t>
        <w:br/>
        <w:t>1. The acquirers and the target ........................................................................................... 5</w:t>
        <w:br/>
        <w:t>2. The control of the concerned entities ............................................................................. 6</w:t>
        <w:br/>
        <w:t>B. The operation ................................................................................................................. 11</w:t>
        <w:br/>
        <w:t>II. DEFINITION OF THE RELEVANT MARKETS ......................................................................... 12</w:t>
        <w:br/>
        <w:t>A. Upstream markets for the supply of consumer goods .................................................. 12</w:t>
        <w:br/>
        <w:t>1. Delimitation of service markets .................................................................................. 12</w:t>
        <w:br/>
        <w:t>2. Delimitation of geographic markets ........................................................................... 13</w:t>
        <w:br/>
        <w:t>B. Downstream markets for the retail distribution of food-focused products ............... 13</w:t>
        <w:br/>
        <w:t>1. Delimitation of service markets .................................................................................. 13</w:t>
        <w:br/>
        <w:t>a) Reminder of previous decision-making practice ......................................................... 13</w:t>
        <w:br/>
        <w:t>b) Arguments of the notifying parties ........................................................................... 15</w:t>
        <w:br/>
        <w:t>c) Assessment in the specific case ................................................................................ 16</w:t>
        <w:br/>
        <w:t>d) Conclusion on the definition of service markets ......................................................... 21</w:t>
        <w:br/>
        <w:t>2. Delimitation of geographic markets ........................................................................... 21</w:t>
        <w:br/>
        <w:t>III. COMPETITIVE ANALYSIS ................................................................................................. 24</w:t>
        <w:br/>
        <w:t>A. Analysis of the effects of the operation on the upstream markets for the supply of</w:t>
        <w:br/>
        <w:t>consumer goods .................................................................................................................... 24</w:t>
        <w:br/>
        <w:t>B. Analysis of the effects of the operation on the downstream markets for the retail</w:t>
        <w:br/>
        <w:t>distribution of food-focused products ................................................................................ 25</w:t>
        <w:br/>
        <w:t>1. The market share of the new entity in the downstream markets for the retail</w:t>
        <w:br/>
        <w:t>distribution of food-focused products ................................................................................ 25</w:t>
        <w:br/>
        <w:t>a) Methodology retained ................................................................................................. 25</w:t>
        <w:br/>
        <w:t>b) Analysis of the catchment area ................................................................................... 26</w:t>
        <w:br/>
        <w:t>2. The effects on the diversity of the offer ....................................................................... 31</w:t>
        <w:br/>
        <w:t>3. Barriers to entry ........................................................................................................... 31</w:t>
        <w:br/>
        <w:t>4. The incentive to raise prices of the new entity ............................................................ 33</w:t>
        <w:br/>
        <w:t>a) Risk of price increase of the former Géant Casino hypermarket/future E. Leclerc</w:t>
        <w:br/>
        <w:t>hypermarket ....................................................................................................................... 35</w:t>
        <w:br/>
        <w:t>b) Risk of price increase of the current E. Leclerc hypermarket .................................. 36</w:t>
        <w:br/>
        <w:t>c) Conclusion on unilateral effects ................................................................................ 40</w:t>
        <w:br/>
        <w:t>5. Analysis of coordinated effects in the hypermarket market ......................................... 40</w:t>
        <w:br/>
        <w:t>a) The detection condition ............................................................................................ 41</w:t>
        <w:br/>
        <w:t>b) The deterrence condition .......................................................................................... 42</w:t>
        <w:br/>
        <w:t>c) The non-contestation condition ................................................................................ 43</w:t>
      </w:r>
    </w:p>
    <w:p>
      <w:r>
        <w:rPr>
          <w:b/>
        </w:rPr>
        <w:t>[Pages 4–6]</w:t>
      </w:r>
    </w:p>
    <w:p>
      <w:r>
        <w:t xml:space="preserve">C. Conclusion of the Competitive Analysis ................................................................... 44  </w:t>
        <w:br/>
        <w:t xml:space="preserve">IV. CONTRIBUTION TO ECONOMIC PROGRESS ............................................................... 45  </w:t>
        <w:br/>
        <w:t xml:space="preserve">V. COMMITMENTS ................................................................................................................ 46  </w:t>
        <w:br/>
        <w:t xml:space="preserve">A. The Proposed Commitments ......................................................................................... 46  </w:t>
        <w:br/>
        <w:t xml:space="preserve">B. Assessment of the Proposed Commitments .................................................................. 46  </w:t>
        <w:br/>
        <w:t xml:space="preserve">1. On the Objectives of the Remedies ................................................................................ 46  </w:t>
        <w:br/>
        <w:t xml:space="preserve">2. On the Adequacy of the Proposed Measures .................................................................. 47  </w:t>
        <w:br/>
        <w:t xml:space="preserve">VI. ON THE CONSEQUENCES OF THE INSUFFICIENCY OF THE PROPOSED COMMITMENTS .......... 48  </w:t>
        <w:br/>
        <w:t xml:space="preserve">A. The Applicable Provisions and Principles .................................................................. 48  </w:t>
        <w:br/>
        <w:t xml:space="preserve">B. Application to the Specific Case ....................................................................................... 49  </w:t>
        <w:br/>
        <w:t>ANNEX .................................................................................................................................... 51</w:t>
      </w:r>
    </w:p>
    <w:p>
      <w:r>
        <w:t xml:space="preserve">I. The Parties and the Operation  </w:t>
        <w:br/>
        <w:t xml:space="preserve">A. THE COMPANIES INVOLVED  </w:t>
        <w:br/>
        <w:t xml:space="preserve">1. THE ACQUIRERS AND THE TARGET  </w:t>
        <w:br/>
        <w:t xml:space="preserve">1. The company Soditroy (hereinafter, "Soditroy"), created for the needs of the operation, is owned by Mr. Le Hen. He also owns the company SIPAN, which operates, under the E. Leclerc brand, a hypermarket located in Saint-Parres-aux-Tertres (10), two supermarkets located in Lusigny-sur-Barse (10) and Rosières-près-Troyes (10), and four "pick-up points" ("drives"), one of which is adjacent to the hypermarket in Saint-Parres-aux-Tertres and two others adjacent to the supermarkets in Lusigny-sur-Barse and Rosières-près-Troyes. The last "pick-up point," located in Barberey-Saint-Sulpice (10), is supplied by the supermarket in Rosières-près-Troyes. Finally, still through the company SIPAN, Mr. Le Hen owns the companies Troydis (which itself holds the company Troymail), Nicole Casanova Voyage, Troypaf, and Sarl Immopares.  </w:t>
        <w:br/>
        <w:t xml:space="preserve">2. The Association of E. Leclerc Distributor Centers (hereinafter, "ACDLec") is the body that defines the strategy of the E. Leclerc movement, to which all individuals who manage the operating companies of E. Leclerc stores are members. The ACDLec notably determines the conditions for approval to the E. Leclerc movement and signs the so-called "signboard" contracts that must be held by the operators of E. Leclerc retail stores.  </w:t>
        <w:br/>
        <w:t>3. The target consists of a hypermarket located on the route de Paris in Barberey-Saint-Sulpice (10), with a sales area of 8,210 m², currently operated under the Géant Casino brand by the company Distribution Casino France (hereinafter, "Casino"), a subsidiary of the company Casino Guichard-Perrachon, as well as the fuel business of the company Floreal, in Barberey-Saint-Sulpice, located in the parking lot of the hypermarket.</w:t>
      </w:r>
    </w:p>
    <w:p>
      <w:r>
        <w:t xml:space="preserve">2. THE CONTROL OF THE ENTITIES INVOLVED  </w:t>
        <w:br/>
        <w:t xml:space="preserve">4. It is asserted in the notification of the operation that the ACDLec exercises no control over Soditroy and will exercise no control over the target store after the operation. The latter would therefore be exclusively controlled by Mr. Le Hen, and the notified operation would thus consist of the exclusive control of the target store by Mr. Le Hen, through Soditroy.  </w:t>
        <w:br/>
        <w:t>5. The notification recalls that the E. Leclerc movement is composed of independent companies that operate retail stores primarily focused on food. Sponsored by other members, the individuals managing the stores personally join the ACDLec to benefit, in particular, from signboard contracts, which grant the right to display in the points of sale the brands owned by the ACDLec. The notification further emphasizes that this membership obliges the member to have low prices practiced in-store by an operating company. In the interest of cohesion within the movement, the statutes of the commercial companies that operate the stores under the E. Leclerc brand often contain preference, preemption, and approval clauses in favor of the sponsoring partners of the members, or of the companies that the partners manage. The regional purchasing centers, which are cooperative companies associated with these commercial companies, may hold a share in these latter companies, without this granting them the right to prevent changes in branding.</w:t>
      </w:r>
    </w:p>
    <w:p>
      <w:r>
        <w:rPr>
          <w:b/>
        </w:rPr>
        <w:t>[Pages 7–9]</w:t>
      </w:r>
    </w:p>
    <w:p>
      <w:r>
        <w:t>6. The notification contests the Authority's practice, consistent since 2012, which holds that the E. Leclerc movement has a very specific character and that the contract binding ACDLec to its members constitutes the exercise of a determining influence by ACDLec, within the meaning of Article L. 430-1 of the Commercial Code. The notifying parties emphasize, in this regard, that ACDLec has already filed appeals against the qualification of control in the Authority's decisions before the Council of State, without the substantive issue having been resolved so far.</w:t>
      </w:r>
    </w:p>
    <w:p>
      <w:r>
        <w:t>7. Nevertheless, the Competition Authority has already noted in previous decisions that the obligations that ACDLec imposes on the operating companies of E. Leclerc stores, such as Soditroy, allow it to exercise a determining influence over them. This analysis of the determining influence exercised by ACDLec is transferable to the present operation, in light of the contractual documents binding Soditroy to ACDLec. At the conclusion of the operation, the target business will therefore be held by Soditroy, which will be jointly controlled, within the meaning of concentration law, by ACDLec and Mr. Le Hen.</w:t>
      </w:r>
    </w:p>
    <w:p>
      <w:r>
        <w:t>8. Firstly, ACDLec constitutes a business within the meaning of the provisions of Article L. 430-1 of the Commercial Code, insofar as it engages in an economic activity consisting notably, according to the provisions of its statutes, in (i) defining the brand policy of the Leclerc movement, (ii) protecting and promoting the sign "Centre Distributeur E. Leclerc," (iii) controlling either for itself or on behalf of any commercial company grouping the E. Leclerc distributors, the conditions of management of these distributors or the E. Leclerc centers associated with them, and (iv) contributing to the creation of any organization likely to promote the activity, solidarity, and security of its members.</w:t>
      </w:r>
    </w:p>
    <w:p>
      <w:r>
        <w:t>9. Secondly, ACDLec's joint control over Soditroy at the conclusion of the operation arises from a set of indicators based notably on ACDLec's ability to intervene in the appointment and dismissal of the president of this company and the general director, in the commercial policy of the store held by the operating company, and in the share transfers of this company.</w:t>
      </w:r>
    </w:p>
    <w:p>
      <w:r>
        <w:t>10. ACDLec will have a veto right over the appointment and exercise of the functions of the president of Soditroy. The statutes of this company provide that a "Sponsorship Council" appoints by simple majority and dismisses unanimously its members the president of the company, while the latter "assumes the general management of the Company." The sponsorship council "is vested with the power to control the management of the company" and decisions concerning several strategic issues (decisions regarding loans, investments, securities, decisions to take or transfer any direct or indirect interests in any companies, decisions concerning any operations regarding real estate) can only be made by the president with the authorization of the sponsorship council. Furthermore, the latter "may require at any time during the life of the company that the President submit for its consideration: the budgets of the company; the documents of prospective management; the interim situations."</w:t>
      </w:r>
    </w:p>
    <w:p>
      <w:r>
        <w:t>11. It follows from these stipulations that ACDLec is able to exercise, through the sponsorship council of Soditroy, control over the latter. The members of the sponsorship council are natural or legal persons who manage companies operating an E. Leclerc center, and are therefore linked to ACDLec by signboard contracts. They have entered into a sponsorship agreement with the president of Soditroy, Mr. Le Hen, which grants them the status of "sponsors." The sponsors provide their endorsement to Mr. Le Hen within the framework of the sponsorship agreement submitted to the Authority, which indicates that, in return, the sponsored party undertakes notably "to apply in the most scrupulous manner all directives given by the E. Leclerc Movement."</w:t>
      </w:r>
    </w:p>
    <w:p>
      <w:r>
        <w:t>12. More generally, only members of ACDLec (or the operating companies they manage) can operate a store under the E. Leclerc brand, join Galec or a general supply cooperative of the E. Leclerc movement, or be a sponsor of another member of ACDLec, this status implying that one must hold a signboard contract signed with ACDLec, granting the right to use the E. Leclerc brand. Insofar as ACDLec is not obliged to grant this right of use, nor to justify any potential refusals, and where it can withdraw this right of use in accordance with the stipulations of the signboard contract which leave it a very wide margin of appreciation, ACDLec can control the appointment of the president, but also that of the members of the sponsorship council of Soditroy.</w:t>
      </w:r>
    </w:p>
    <w:p>
      <w:r>
        <w:t>13. The ACDLec imposes, in the signboard contracts, in the charter of members of the E. Leclerc movement and in directives issued by its regional presidents, who ensure their proper application, two sets of obligations. These obligations significantly limit the autonomy of members in conducting their commercial policy. In this case, these obligations apply to Mr. Le Hen as a signatory, with ACDLec, of a signboard contract.</w:t>
      </w:r>
    </w:p>
    <w:p>
      <w:r>
        <w:t>14. Firstly, the association receives communication of all documents necessary for assessing the commercial operation of the stores by their managers. Members must thus send their balance sheet and operating account each year as well as, monthly, the turnover of the previous month.</w:t>
      </w:r>
    </w:p>
    <w:p>
      <w:r>
        <w:t>15. Secondly, ACDLec also imposes, in the signboard contracts, obligations conferring on it a determining role for the commercial strategy of the stores. These contracts indeed provide that members cannot apply margins higher than those practiced for wholesale sales and that, in any case, members undertake "never to apply a margin higher than those recommended by ACDLec." However, the setting of the margin rate is the essential element that conditions the commercial profitability of a large distribution brand. Furthermore, the charter of members of ACDLec expressly provides that each member is required to respect the pricing policy of the E. Leclerc movement, which constitutes "an essential element of membership in ACDLec. [...] The average index to be achieved to ensure the overall competitiveness of the brand is [...]. Every member must strive to achieve the set objective and, in any case, have a comprehensive index at OPUS lower than [...]. Non-compliance with this pricing rule leads to the implementation of a disciplinary procedure, a warning from ACDLec sanctions any excess, three consecutive warnings may lead to expulsion from the association." It follows that, in practice, ACDLec is able to define and enforce the commercial policy of the operating companies of E. Leclerc stores.</w:t>
      </w:r>
    </w:p>
    <w:p>
      <w:r>
        <w:t>16. Moreover, the signboard contracts impose on members obligations precisely framing their supply and investments. The companies are also...</w:t>
      </w:r>
    </w:p>
    <w:p>
      <w:r>
        <w:rPr>
          <w:b/>
        </w:rPr>
        <w:t>[Pages 10–12]</w:t>
      </w:r>
    </w:p>
    <w:p>
      <w:r>
        <w:t>required not to operate or manage any other commercial enterprise, even if it has a similar activity. In addition to these obligations, imposed by ACDLec in the signboard contracts, members of ACDLec are required to comply with those set forth in the charter of members of the E. Leclerc movement and by directives outlining the brand policy developed by the strategic committee of ACDLec, and disseminated by its regional presidents. Any breach of these obligations may justify the withdrawal of the right to use the E. Leclerc brand.</w:t>
      </w:r>
    </w:p>
    <w:p>
      <w:r>
        <w:t>The possibility of intervening in the share transfers of operating companies</w:t>
      </w:r>
    </w:p>
    <w:p>
      <w:r>
        <w:t>17. The various statutory provisions or contractual stipulations applicable also closely frame the process of share transfer of Soditroy to a person outside the E. Leclerc movement.</w:t>
      </w:r>
    </w:p>
    <w:p>
      <w:r>
        <w:t>18. Regarding share transfers, several stipulations in the articles of association of Soditroy define particularly binding obligations:</w:t>
        <w:br/>
        <w:t>- any total or partial transfer of shares held by a partner must be subject to a "prior offer of transfer to the other partners"; and,</w:t>
        <w:br/>
        <w:t>- if the other partners have not expressed their intention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right of preemption. Failing a response within this period, they are deemed to have waived their right to acquire the transferred shares.</w:t>
      </w:r>
    </w:p>
    <w:p>
      <w:r>
        <w:t>19. Overall, it follows from all of the above, and notably from the possibility for ACDLec to intervene in the administration and commercial policy of Mr. Le Hen's companies, as well as the obligations concerning the share transfers of Soditroy, that ACDLec will have the possibility to exert a decisive influence over it at the conclusion of the operation, alongside Mr. Le Hen.</w:t>
      </w:r>
    </w:p>
    <w:p>
      <w:r>
        <w:t>20. Consequently, at the conclusion of the operation, the Authority considers that the company Soditroy, and thus the target store it will operate, will be jointly controlled by Mr. Le Hen and ACDLec.</w:t>
      </w:r>
    </w:p>
    <w:p>
      <w:r>
        <w:t>B. THE OPERATION</w:t>
      </w:r>
    </w:p>
    <w:p>
      <w:r>
        <w:t>21. The contemplated operation, formalized by a promise to purchase the business assets dated June 3, 2019, between the company Scapinvest and Casino, as well as by the substitution declaration dated June 6, 2019, whereby Soditroy substitutes itself for the company Scapinvest, consists of the acquisition by Soditroy of the target hypermarket. It materializes through the transfer of the target business assets, the operating premises of the target, as well as the operating premises of a gas station to the company Soditroy. The latter, created for the needs of the operation, is a simplified joint-stock company, governed by provisions compliant with the E. Leclerc standard articles described above, a member of ACDLec and intended to hold a signboard contract E. Leclerc through Mr. Le Hen. It is controlled by Mr. Le Hen. The purchasing center of the E. Leclerc distributor centers Scapest, the operating companies Contoydis, Denidis, Sodichamp, Solormag, Vandis, and Mr. Febvre, each hold [confidential] shares in the capital of the company Soditroy under the sponsorship described in the previous developments.</w:t>
      </w:r>
    </w:p>
    <w:p>
      <w:r>
        <w:t>22. Insofar as it results, for the reasons set forth above, in the joint control of the target store by Soditroy alongside ACDLec, the operation constitutes a concentration within the meaning of Article L. 430-1 of the Commercial Code.</w:t>
      </w:r>
    </w:p>
    <w:p>
      <w:r>
        <w:t>23. The companies concerned generate a total worldwide turnover excluding taxes of more than 75 million euros (ACDLec: [≥ 75 million] euros for the fiscal year ending December 31, 2018; Mr. Le Hen: [≥ 75 million] euros for the fiscal year ending December 31, 2019; the target store: [≤ 75 million] euros for the fiscal year ending December 31, 2018). Two of these companies generate a turnover in France exceeding 15 million euros (ACDLec: [≥ 15 million] euros for the fiscal year ending December 31, 2018; Mr. Le Hen: [≥ 15 million] euros for the fiscal year ending December 31, 2019; the target store: [≥ 15 million] euros for the fiscal year ending December 31, 2018).</w:t>
      </w:r>
    </w:p>
    <w:p>
      <w:r>
        <w:t>24. The notification thresholds of Article 1 paragraph 2 of Regulation (EC) 139/2004 are not exceeded, thus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w:t>
      </w:r>
    </w:p>
    <w:p>
      <w:r>
        <w:t>II. Definition of Relevant Markets</w:t>
      </w:r>
    </w:p>
    <w:p>
      <w:r>
        <w:t>25. The markets concerned by the operation fall within the food retail sector. According to the consistent practice of national and community competition authorities, two categories of markets can be delineated in this sector: (A) upstream markets for the supply of consumer goods and (B) downstream markets for the retail distribution of food products.</w:t>
      </w:r>
    </w:p>
    <w:p>
      <w:r>
        <w:t>A. UPSTREAM MARKETS FOR THE SUPPLY OF CONSUMER GOODS</w:t>
      </w:r>
    </w:p>
    <w:p>
      <w:r>
        <w:t>1. DELIMITATION OF SERVICE MARKETS</w:t>
      </w:r>
    </w:p>
    <w:p>
      <w:r>
        <w:t>26. In the food retail sector, upstream supply markets correspond to the sale of everyday consumer goods by producers to customers such as wholesalers, before their resale to retailers (food hypermarkets, hereinafter "GSA" and specialized large surfaces, hereinafter "GSS") or to other businesses (for example, out-of-home catering, hereinafter "RHF").</w:t>
      </w:r>
    </w:p>
    <w:p>
      <w:r>
        <w:t>27. Competition authorities typically distinguish as many markets as there are families or groups of products. The following categories have thus been distinguished:</w:t>
        <w:br/>
        <w:t>- consumer goods: (1) liquids, (2) drugstore, (3) perfumery and hygiene, (4) dry grocery, (5) parapharmacy, (6) perishable goods in self-service;</w:t>
        <w:br/>
        <w:t>- traditional fresh: (7) delicatessen, (8) fishmonger, (9) fruits and vegetables, (10) fresh bread and pastries, (11) butcher;</w:t>
        <w:br/>
        <w:t>- bazaar: (12) DIY, (13) home, (14) culture, (15) toys, leisure and relaxation, (16) garden, (17) automotive;</w:t>
        <w:br/>
        <w:t>- household appliances, photo, cinema and sound: (18) large household appliances, (19) small household appliances, (20) photo and cinema, (21) hi-fi and sound, (22) TV and video;</w:t>
        <w:br/>
        <w:t>- textiles: (23) textiles and shoes.</w:t>
      </w:r>
    </w:p>
    <w:p>
      <w:r>
        <w:t>28. See in particular the decisions of the European Commission COMP/M.1684 of January 25, 2000, Carrefour/Promodès and of July 3, 2008, COMP/M.5112, Rewe Plus/Discount; the ministerial decree of July 5, 2000, relating to the acquisition by the company Carrefour of the company Promodès, BOCCRF No. 11 of October 18, 2000; and the opinions of the Competition Council No. 97-A-14 of July 1, 1997, in the operation Carrefour/Cora, No. 98-A-06 of May 5, 1998, in the operation Casino Franprix/Leader Price, and No. 00-A-06 of May 3, 2000, in the operation Carrefour/Promodès.</w:t>
      </w:r>
    </w:p>
    <w:p>
      <w:r>
        <w:t>29. See in particular the aforementioned decision M.1684 and decisions No. 13-DCC-90 of July 11, 2003, relating to the exclusive control of the company Monoprix by the company Casino Guichard-Perrachon, No. 17-DCC-11 of January 30, 2017, relating to the control of Colruyt France SAS by Metro AG and No. 19-DCC-180 of September 27, 2019, relating to the exclusive control of the company NDIS by the company SAFO.</w:t>
      </w:r>
    </w:p>
    <w:p>
      <w:r>
        <w:t>30. See in particular the decision of the European Commission of February 3, 1999, rendered in case M.1221 Rewe Meinl and of January 25, 2000, rendered in the aforementioned case M.1684. See also the letter from the minister C2008-32 of July 9, 2008, Carrefour/SAGC and the decisions of the Competition Authority No. 13-DCC-90 mentioned above, No. 19-DCC-180 of September 27, 2019, relating to the exclusive control of the company NDIS by the company SAFO and No. 20-DCC-72 of May 26, 2020, relating to the exclusive control of the company Vindémia Group by the company Groupe Bernard Hayot.</w:t>
      </w:r>
    </w:p>
    <w:p>
      <w:r>
        <w:rPr>
          <w:b/>
        </w:rPr>
        <w:t>[Pages 13–15]</w:t>
      </w:r>
    </w:p>
    <w:p>
      <w:r>
        <w:t>28. The European Commission also considered segmentation based on distribution channels. In the Carrefour/Promodès decision, it noted that "there are serious indications suggesting that certain supply markets may also be defined based on distribution channels, such that the supply of the food-dominated retail sector could constitute an autonomous market." The Competition Authority also identified a distinct market for the supply of food products intended for GSA.</w:t>
      </w:r>
    </w:p>
    <w:p>
      <w:r>
        <w:t>29. Furthermore, within this latter market, the Authority considered a sub-segmentation based on the commercial positioning of the product (supplier brand or "MDF", distributor brand or "MDD").</w:t>
      </w:r>
    </w:p>
    <w:p>
      <w:r>
        <w:t>30. The parties not contesting the definition of upstream supply markets, there is no need to challenge the segmentations retained by the decision-making practice of the Authority in the context of this decision.</w:t>
      </w:r>
    </w:p>
    <w:p>
      <w:r>
        <w:t>31. In this case, the parties are simultaneously active as buyers in these markets.</w:t>
      </w:r>
    </w:p>
    <w:p>
      <w:r>
        <w:t>2. DELIMITATION OF GEOGRAPHICAL MARKETS</w:t>
      </w:r>
    </w:p>
    <w:p>
      <w:r>
        <w:t>32. Competition authorities consider, regarding geographical delimitation, that supply markets are essentially of national dimension, while not excluding that, for certain categories of products, the market dimension may be narrower.</w:t>
      </w:r>
    </w:p>
    <w:p>
      <w:r>
        <w:t>33. In this case, the analysis will be conducted at the national level.</w:t>
      </w:r>
    </w:p>
    <w:p>
      <w:r>
        <w:t>B. DOWNSTREAM MARKETS FOR THE RETAIL DISTRIBUTION OF FOOD PRODUCTS</w:t>
      </w:r>
    </w:p>
    <w:p>
      <w:r>
        <w:t>1. DELIMITATION OF SERVICE MARKETS</w:t>
      </w:r>
    </w:p>
    <w:p>
      <w:r>
        <w:t>a) Reminder of previous decision-making practice</w:t>
      </w:r>
    </w:p>
    <w:p>
      <w:r>
        <w:t>34. Regarding the retail sale of everyday consumer goods, decision-making practice distinguishes six categories of trade using several criteria, including store size, sales techniques, accessibility, the nature of the service provided, and the range of products offered: (i) hypermarkets, (ii) supermarkets, (iii) specialized trade, (iv) small retail or convenience stores, (v) discounters, and (vi) mail order.</w:t>
      </w:r>
    </w:p>
    <w:p>
      <w:r>
        <w:t>35. Hypermarkets are generally defined in France as stores with a sales area equal to or greater than 2,500 m², supermarkets as stores with a sales area less than 2,500 m² and greater than 400 m², and convenience stores as stores with a sales area less than 400 m² and greater than 120 m².</w:t>
      </w:r>
    </w:p>
    <w:p>
      <w:r>
        <w:t>36. These size thresholds serve as a first approximation to determine the nature of a store's offer: the larger a store is, the more references it offers and can provide so-called "non-food" products. As these thresholds are defined generally, it is necessary to conduct a concrete analysis to determine whether a store whose size is close to one of the thresholds defined above is potentially in direct competition with stores of another category. To conduct this analysis, the typically retained criteria are the breadth of assortments, the diversity of the offer, accessibility, and the services rendered.</w:t>
      </w:r>
    </w:p>
    <w:p>
      <w:r>
        <w:t>37. The Authority's practice adopts these criteria to assess store formats. Thus, in the Casino/Monoprix decision cited above, the Authority indicated that convenience stores offer a range capable of competing with supermarkets when located in city centers, due to the similarity of services and assortments, which led to the recognition of substitutability between these store formats in Paris. The same applies to the differentiation between other store formats.</w:t>
      </w:r>
    </w:p>
    <w:p>
      <w:r>
        <w:t>38. The Competition Authority considers that, while each category of store retains its specificity, there is asymmetric competition between some of these categories. Indeed, a hypermarket may typically be used by some consumers as a proximity store, substituting for a supermarket. Conversely, the reverse is almost never verified, and it is even less so the larger the hypermarket in question is. Consequently, if the target store is a hypermarket, the analysis is conducted on a market comprising only hypermarkets, on the one hand, and on a market comprising supermarkets and equivalent forms of trade (hypermarkets, discounters, and popular stores) excluding small retail (less than 400 m²), on the other hand. If the target store is a supermarket, the analysis is conducted only on the second type of market mentioned above. The practice thus distinguishes:</w:t>
      </w:r>
    </w:p>
    <w:p>
      <w:r>
        <w:t>− a market comprising only hypermarkets; and</w:t>
        <w:br/>
        <w:t>− a market comprising supermarkets and equivalent forms of trade (hypermarkets, hard discount, and popular stores) excluding small retail (less than 400 m²).</w:t>
      </w:r>
    </w:p>
    <w:p>
      <w:r>
        <w:t>b) Arguments of the notifying parties</w:t>
      </w:r>
    </w:p>
    <w:p>
      <w:r>
        <w:t>39. The notifying parties consider that the constant decision-making practice would now be obsolete.</w:t>
      </w:r>
    </w:p>
    <w:p>
      <w:r>
        <w:t>40. They rely, for this purpose, on the current crisis that hypermarkets are experiencing. This would result, on the one hand, from competitive pressure from specialized large stores, online sales, supermarkets, discount stores, and other forms of trade, and, on the other hand, from a change in consumption habits.</w:t>
      </w:r>
    </w:p>
    <w:p>
      <w:r>
        <w:t>41. The competition exerted by discount stores, particularly by the brands Aldi and Lidl, would no longer be restricted to supermarkets but would now extend to hypermarket-type points of sale. Similarly, supermarkets would today exert real pressure on hypermarket-type stores, which would necessitate defining only a single market for food-dominated distribution.</w:t>
      </w:r>
    </w:p>
    <w:p>
      <w:r>
        <w:t>42. The notifying parties present four arguments (see below) that they believe demonstrate the reality of full and complete competition from supermarket and discount store formats on hypermarket formats at the national level. These arguments would be corroborated by the local analysis of the Troyes agglomeration.</w:t>
      </w:r>
    </w:p>
    <w:p>
      <w:r>
        <w:t>The primacy of the core range</w:t>
      </w:r>
    </w:p>
    <w:p>
      <w:r>
        <w:t>43. According to the notifying parties, not all products in the same range have the same attractiveness, and each product range has a main reference that constitutes the "core range." They consider that the number of references is merely a means of attracting customers, who would consume roughly the same products, namely the "core range," regardless of the store format they visit.</w:t>
      </w:r>
    </w:p>
    <w:p>
      <w:r>
        <w:t>44. To counter the argument of the depth of range offered by hypermarket-type stores, supermarkets would respond with proximity and convenience, while discount stores would offer prices and loss leaders.</w:t>
      </w:r>
    </w:p>
    <w:p>
      <w:r>
        <w:t>45. To concretely assess competition, it would therefore be necessary to consider only the products of the "core range" and not peripheral products.</w:t>
      </w:r>
    </w:p>
    <w:p>
      <w:r>
        <w:t>The price of the core range</w:t>
      </w:r>
    </w:p>
    <w:p>
      <w:r>
        <w:t>46. According to the notifying parties, price is the key argument for competition among food-dominated retailers, and more specifically the price of the "core range," which would correspond to effective competition among all store formats. This argument would be corroborated by the fact that brands, notably E. Leclerc and Lidl, widely use the Nielsen "Major" index, which covers 1,500 products from national brands.</w:t>
      </w:r>
    </w:p>
    <w:p>
      <w:r>
        <w:t>47. This index covers approximately 1,500 products from national brands (food products, fresh products, FMCG, small household appliances, etc.) that are the best-selling products. It is produced by Nielsen, a measurement and data analysis company, primarily for large retail brands. This index is not weighted by the sales volume of the products.</w:t>
      </w:r>
    </w:p>
    <w:p>
      <w:r>
        <w:rPr>
          <w:b/>
        </w:rPr>
        <w:t>[Pages 16–18]</w:t>
      </w:r>
    </w:p>
    <w:p>
      <w:r>
        <w:t>The Territorial Network of Discount Stores</w:t>
      </w:r>
    </w:p>
    <w:p>
      <w:r>
        <w:t>47. The notifying parties consider that discount stores are now formidable competitors for both hypermarkets and supermarkets. According to them, the strategy of these brands would be to encircle hypermarkets, which would allow them to find themselves in a situation of direct competition across the entire "core range" offering and to position themselves as real competitors to this type of store.</w:t>
      </w:r>
    </w:p>
    <w:p>
      <w:r>
        <w:t>Advertising Investments</w:t>
      </w:r>
    </w:p>
    <w:p>
      <w:r>
        <w:t>48. The notifying parties note that the Lidl brand has become the leading advertiser in France in the retail sector. This simple observation would suggest that this brand is in direct competition with hypermarket-type stores.</w:t>
      </w:r>
    </w:p>
    <w:p>
      <w:r>
        <w:t>c) Assessment in the Specific Case</w:t>
      </w:r>
    </w:p>
    <w:p>
      <w:r>
        <w:t>49. As a preliminary point, the Authority considers that the arguments put forward by the notifying parties are not sufficient to challenge the established decision-making practice.</w:t>
      </w:r>
    </w:p>
    <w:p>
      <w:r>
        <w:t>50. Indeed, the consistent decision-making practice characterizes the offering of hypermarkets by a set of criteria including (i) a diversity of products, meaning a wide variety of both food and non-food products, (ii) a depth of range, and not just a "core range" offering, (iii) the accessibility of the point of sale, and (iv) the services offered.</w:t>
      </w:r>
    </w:p>
    <w:p>
      <w:r>
        <w:t>51. The arguments developed by the notifying parties do not demonstrate that this set of criteria is less relevant today than in the decisions based on this analysis in an established decision-making practice.</w:t>
      </w:r>
    </w:p>
    <w:p>
      <w:r>
        <w:t>52. Furthermore, while discount stores may now, in certain cases, exert competition on the hypermarket offering for certain types of purchases, there is still not sufficient substitutability between these store formats, particularly due to the lesser variety of food and non-food products available on the shelves or the lesser depth of range at discount stores (see below paragraphs 72 and following).</w:t>
      </w:r>
    </w:p>
    <w:p>
      <w:r>
        <w:t>53. In any case, since the operation involves only one store, the Authority conducted checks based on a local assessment of market delineation. The findings made within this decision do not necessarily extend to the national level.</w:t>
      </w:r>
    </w:p>
    <w:p>
      <w:r>
        <w:t>54. The Authority determined, through the examination of a set of indicators, that in the Troyes area, neither supermarkets nor discount stores can substitute for hypermarkets. It also concluded that the target point of sale constitutes a hypermarket. Among these indicators are the responses to two consumer surveys, the main characteristics of which are presented below.</w:t>
      </w:r>
    </w:p>
    <w:p>
      <w:r>
        <w:t>Conducting Surveys at the Géant Casino and E. Leclerc Hypermarkets</w:t>
      </w:r>
    </w:p>
    <w:p>
      <w:r>
        <w:t>55. The polling institute BVA conducted, as part of the investigation and at the request and on behalf of the Authority, surveys among consumers who are customers of the Géant Casino store in Barberey-Saint-Sulpice, the E. Leclerc store in Saint-Parres-aux-Tertres, and the "pick-up point" of this same E. Leclerc store.</w:t>
      </w:r>
    </w:p>
    <w:p>
      <w:r>
        <w:t>56. These surveys, jointly developed by the notifying parties and the Authority and conducted in January and February 2020 at the checkout (or "pick-up point"), mainly include two types of questions. The first concerns the alternative points of sale to which consumers would redirect their purchases in the event of the closure of the visited store (and the associated "pick-up point"), while the second addresses consumers' sensitivity to a 10% increase in the prices of "everyday products" (see below) sold in the visited store. The data collected allows for the identification of the types of stores to which consumers would redirect their purchases in the event of price increases in the visited store. This leads to estimating diversion ratios (or diversion rates) between the two stores, which can then be used to assess the risk of price increases resulting from the operation related to unilateral effects. The survey also helps determine the competitive proximity of third-party stores relative to the Géant Casino and E. Leclerc stores in Saint-Parres-aux-Tertres, represented by the diversion rates between these stores and third-party stores. Thus, the survey tests whether consumers believe that different store formats have similar characteristics. However, the survey does not allow for the delineation of the relevant market in which the parties to the operation operate using the hypothetical monopolist test (or SSNIP test) because, on the one hand, only customers of two hypermarkets out of four, representing only 43.1% of the total turnover of all hypermarkets in the area, were surveyed, and on the other hand, the survey does not study consumers' reactions to a price increase of all hypermarkets in the area.</w:t>
      </w:r>
    </w:p>
    <w:p>
      <w:r>
        <w:t>57. The surveys distinguish between two categories of products: the so-called "everyday products" (food products, cleaning products, and hygiene products, excluding fuel) and the so-called "non-everyday products" (clothing, shoes, toys, televisions, hi-fi, small appliances, etc. – excluding fuel), with the competitors of hypermarkets for the sale of these two categories of products likely to differ. The survey questions, which focus on consumers' reactions to a price increase, target only the prices of everyday products as opposed to prices that would pertain to all products or only to non-everyday products. However, the surveys also include questions asking consumers whether they would reduce their purchases of non-everyday products following a price increase of everyday products and, in that case, the amount of non-everyday products they would redirect to the other store (or "pick-up point") concerned.</w:t>
      </w:r>
    </w:p>
    <w:p>
      <w:r>
        <w:t>58. The surveys also include questions regarding (i) consumers' reactions to a store closure, (ii) the characteristics of consumers (age, gender, and residence), (iii) the characteristics of the current visit to the store (amounts spent on everyday products and non-everyday products and means of transport used to get to the store), and (iv) consumers' purchasing habits for everyday products (their average monthly spending on everyday and non-everyday products, other stores also frequented for purchasing everyday products, and the frequency of their purchases in the store where they were surveyed).</w:t>
      </w:r>
    </w:p>
    <w:p>
      <w:r>
        <w:t>59. The surveys were conducted with 615 consumers at the checkout of the Géant Casino store in Barberey-Saint-Sulpice, 387 consumers at the checkout of the E. Leclerc store in Saint-Parres-aux-Tertres, and finally, 176 consumers at the exit of the "pick-up point" of the E. Leclerc hypermarket. They were interrupted when consumers indicated that they only occasionally visited the store in question or had purchased less than five euros of everyday products or were residing outside the Aube department. After eliminating these respondents, the samples consist of 601 consumers at the checkout of the Géant Casino store, 383 consumers at the checkout of the E. Leclerc store, and 174 consumers at the exit of the E. Leclerc "pick-up point."</w:t>
      </w:r>
    </w:p>
    <w:p>
      <w:r>
        <w:t>60. In analyzing the surveys, the two samples from the checkout and the "pick-up point" of the E. Leclerc hypermarket are aggregated, particularly to estimate the diversion ratios in the event of a price increase in the E. Leclerc hypermarket. However, the distribution of respondents' spending in the E. Leclerc hypermarket between the store and its "pick-up point" does not correspond to the respective weights of these two forms of sale in the turnover of this hypermarket. To correct the overly significant weight of respondents' spending at the "pick-up point," the Authority thus "reweighted" the spending on everyday products and non-everyday products made at the "pick-up point."</w:t>
      </w:r>
    </w:p>
    <w:p>
      <w:r>
        <w:t>61. Finally, the analysis of the surveys shows that spending on non-everyday products represents only [5-10]% and [5-10]% of the total spending made at the Géant Casino and E. Leclerc, which are proportions significantly lower than those observed in the total turnover of the two stores (respectively [10-20]% and [30-40]%, including sales at the "pick-up point").</w:t>
      </w:r>
    </w:p>
    <w:p>
      <w:r>
        <w:t>62. These surveys, combined with other indicators, have led to the conclusion that the market delineations resulting from the Authority's consistent decision-making practice are still relevant for the analysis of the Troyes agglomeration.</w:t>
      </w:r>
    </w:p>
    <w:p>
      <w:r>
        <w:t>On Competition Between Supermarkets and Hypermarkets in the Troyes Agglomeration</w:t>
      </w:r>
    </w:p>
    <w:p>
      <w:r>
        <w:t>63. Firstly, during the market tests conducted as part of the investigation, the Carrefour brand emphasized that the hypermarket format still presents advantages over supermarkets and discount stores, particularly regarding its promotional power, private label products, and the depth of assortments.</w:t>
      </w:r>
    </w:p>
    <w:p>
      <w:r>
        <w:t>64. This promotional power was reiterated during the Authority's session on July 16. Thus, industry professionals confirmed that promotions conducted in supermarkets have a negligible impact on hypermarkets, whereas those conducted in hypermarkets result in an immediate decrease in the turnover of stores of this type.</w:t>
      </w:r>
    </w:p>
    <w:p>
      <w:r>
        <w:rPr>
          <w:b/>
        </w:rPr>
        <w:t>[Pages 19–21]</w:t>
      </w:r>
    </w:p>
    <w:p>
      <w:r>
        <w:t>supermarket. The promotional power of hypermarkets in the area demonstrates an asymmetric competition according to store formats.</w:t>
      </w:r>
    </w:p>
    <w:p>
      <w:r>
        <w:t>65. Furthermore, it emerges from the statements of the notifying parties during the session, as they operate both a hypermarket and several supermarkets in the Troyes agglomeration, that these two retail models have a different mode of operation, with hypermarkets being more dependent on the realization of promotions to ensure a sufficient flow of consumers.</w:t>
      </w:r>
    </w:p>
    <w:p>
      <w:r>
        <w:t>66. Regarding the diversity of products available on the shelves, hypermarkets in the area have more than 60,000 references per store, while the surveyed supermarkets generally offer between 9,600 and 30,000 per store. The manager of the E. Leclerc hypermarket also stated during the investigation that "consumers are willing to travel far for these stores that have a non-food product offering, even traveling 30 to 45 minutes by car. Thus, the offering of non-food products is very important for our business," thereby confirming that the hypermarket offering indeed presents a real specificity compared to the supermarket offering within the Troyes agglomeration.</w:t>
      </w:r>
    </w:p>
    <w:p>
      <w:r>
        <w:t>67. Moreover, consumers continue to make the majority of their purchases in one go ("one-stop-shop") in this type of store format. Surveys indicate that the majority of consumers of the Géant Casino and E. Leclerc hypermarkets visit these points of sale to make their daily product purchases between once a week and once a month.</w:t>
      </w:r>
    </w:p>
    <w:p>
      <w:r>
        <w:t>68. Secondly, the surveys also provide indications regarding consumer shifts to other store formats in the event of a 10% price increase. In this case, the Authority studied the differences in characteristics between store formats in the Troyes agglomeration compared to the hypermarket format. These indications confirm that, for consumers, the offering of hypermarkets is differentiated from that of supermarkets.</w:t>
      </w:r>
    </w:p>
    <w:p>
      <w:r>
        <w:t>69. Indeed, the results of the survey conducted among customers of the Géant Casino store show that 84.9% of consumers prefer to stay in this store or shift to the E. Leclerc stores in Saint-Parres-aux-Tertres, Carrefour La-Chapelle-Saint-Luc, and Saint-André-Les-Vergers in the event of a price increase, and only 7% would shift to supermarkets.</w:t>
      </w:r>
    </w:p>
    <w:p>
      <w:r>
        <w:t>70. These results are confirmed by those of the survey conducted among customers of the E. Leclerc hypermarket. Indeed, 63.6% of consumers prefer to stay in this store or shift to the Carrefour La-Chapelle-Saint-Luc and Saint-André-Les-Vergers stores and to the Géant Casino store in Barberey-Saint-Sulpice. It highlights that only 12.4% of consumers would shift to supermarkets.</w:t>
      </w:r>
    </w:p>
    <w:p>
      <w:r>
        <w:t>71. In light of these elements, the Authority concludes that, in the Troyes agglomeration, consumers consider hypermarkets and supermarkets to be different store formats, between which there is indeed asymmetric competition, in accordance with the decision-making practice.</w:t>
      </w:r>
    </w:p>
    <w:p>
      <w:r>
        <w:t>On the competition between discount stores and hypermarkets in the Troyes agglomeration</w:t>
      </w:r>
    </w:p>
    <w:p>
      <w:r>
        <w:t>72. According to the parties, discount stores, at least the Lidl brand, exert competitive pressure on the E. Leclerc hypermarket similar to that of other hypermarkets and should therefore be considered, for the purposes of competitive analysis, as competitors of hypermarkets.</w:t>
      </w:r>
    </w:p>
    <w:p>
      <w:r>
        <w:t>73. However, it emerges from the investigation that, just like supermarkets, the offering of discount stores is distinctly different from that of hypermarkets and is not considered by consumers as a substitutable offering.</w:t>
      </w:r>
    </w:p>
    <w:p>
      <w:r>
        <w:t>74. Firstly, the majority of discount stores indicate offering around 2,000 references on the shelves. This is notably the case for the Lidl brand, which presents approximately one item per need in-store. The depth of range between a discount store and a hypermarket is therefore not comparable (more than 60,000 references locally for a hypermarket).</w:t>
      </w:r>
    </w:p>
    <w:p>
      <w:r>
        <w:t>75. Furthermore, regarding product diversity, the Lidl brand offers 90 to 95% private label products on the shelves, with the remainder being national brands, which limits its ability to compete with hypermarkets on national brands. The notifying parties reinforced this point in the session by indicating that they only noted price increases, as part of their competitive monitoring, for 300 to 350 references within Lidl stores due to this specificity. This positioning implies that discount stores are relatively insensitive to promotional operations carried out by other food-dominant points of sale. The Lidl brand believes that customer loyalty results from the quality-price image of the private label it offers.</w:t>
      </w:r>
    </w:p>
    <w:p>
      <w:r>
        <w:t>76. The business model of discount stores therefore differs significantly from that of hypermarkets, which does not allow for considering these two types of formats as direct competitors.</w:t>
      </w:r>
    </w:p>
    <w:p>
      <w:r>
        <w:t>77. Moreover, the Lidl brand indicated that it does not have the capacity to react to the establishment of an E. Leclerc hypermarket in place of the Géant Casino point of sale. Indeed, when asked about the consequences of the operation for the Lidl store located in Barberey-Saint-Sulpice, in immediate proximity to the target store, representatives of the Lidl group stated in the session that this establishment would be detrimental to them, with a risk of a 10% to 20% loss in turnover. The Lidl brand, for its part, would not be able to exert such competitive pressure on the future E. Leclerc hypermarket.</w:t>
      </w:r>
    </w:p>
    <w:p>
      <w:r>
        <w:t>78. Finally, the Lidl group considers that the share of variation in its turnover related to the activity of the Géant Casino hypermarket is very low and has not noticed any impact on its turnover following price changes or promotional campaigns conducted by this point of sale.</w:t>
      </w:r>
    </w:p>
    <w:p>
      <w:r>
        <w:t>79. The competition that exists between Lidl points of sale and hypermarkets thus appears to be asymmetric in the area.</w:t>
      </w:r>
    </w:p>
    <w:p>
      <w:r>
        <w:t>80. Thus, even if low prices are selling points for each of these two brands, the Lidl brand cannot be considered a competitor of hypermarket-type points of sale in Troyes.</w:t>
      </w:r>
    </w:p>
    <w:p>
      <w:r>
        <w:t>81. This difference is finally confirmed by the Aldi group, which indicated, in response to market tests, that it does not compete with hypermarket-type points of sale.</w:t>
      </w:r>
    </w:p>
    <w:p>
      <w:r>
        <w:t>82. Secondly, the surveys also provide useful indications regarding consumer shifts to discount stores in the event of a 10% price increase on daily products. These indications confirm that for consumers, the offering of hypermarkets is distinguished from that of discount stores.</w:t>
      </w:r>
    </w:p>
    <w:p>
      <w:r>
        <w:t>83. Indeed, according to the results of the survey conducted among consumers of the Géant Casino store, only 5.4% of consumers would shift to discount stores such as Aldi and Lidl, even though these are located less than 500 meters from the target store.</w:t>
      </w:r>
    </w:p>
    <w:p>
      <w:r>
        <w:t>84. In the same vein, the results of the survey conducted among consumers of the E. Leclerc hypermarket indicate that only 11.9% of consumers would shift to these brands.</w:t>
      </w:r>
    </w:p>
    <w:p>
      <w:r>
        <w:t>85. These shifts confirm that the market definition retained by the decision-making practice, which distinguishes a market specific to hypermarkets, still corresponds to the reality of the market in the Troyes agglomeration.</w:t>
      </w:r>
    </w:p>
    <w:p>
      <w:r>
        <w:t>86. It thus emerges from the investigation that, within the Troyes agglomeration, supermarket-format points of sale and discount stores remain in a distinct market from that specific to hypermarkets.</w:t>
      </w:r>
    </w:p>
    <w:p>
      <w:r>
        <w:t>d) Conclusion on the definition of service markets</w:t>
      </w:r>
    </w:p>
    <w:p>
      <w:r>
        <w:t>87. Based on the elements developed above, the Authority considers that, within the Troyes agglomeration, there is no need to challenge the existing decision-making practice: the downstream market for the retail distribution of food-dominant products should therefore be segmented, between, on the one hand, a market comprising only hypermarkets and, on the other hand, a market comprising hypermarkets, supermarkets, and other equivalent forms of commerce (maxi discount stores and popular stores), excluding small retail (less than 400 m²).</w:t>
      </w:r>
    </w:p>
    <w:p>
      <w:r>
        <w:t>88. In this case, the parties are simultaneously active in these two markets.</w:t>
      </w:r>
    </w:p>
    <w:p>
      <w:r>
        <w:t>2. DELIMITATION OF GEOGRAPHICAL MARKETS</w:t>
      </w:r>
    </w:p>
    <w:p>
      <w:r>
        <w:t>89. As a preliminary point, according to the constant decision-making practice of the Authority, the market for the retail distribution of food-dominant products is subject to a local analysis, taking into account the catchment area of each store.</w:t>
      </w:r>
    </w:p>
    <w:p>
      <w:r>
        <w:rPr>
          <w:b/>
        </w:rPr>
        <w:t>[Pages 22–24]</w:t>
      </w:r>
    </w:p>
    <w:p>
      <w:r>
        <w:t>90. As indicated in paragraph 38, the Authority considers that depending on the size of the stores concerned, the conditions of competition are generally assessed in two different areas:</w:t>
        <w:br/>
        <w:t>− a first area ("primary area") where consumer demand meets the supply of hypermarkets that they can access in less than 30 minutes by car and which are, from their perspective, substitutable for one another;</w:t>
        <w:br/>
        <w:t>− a second area ("secondary area") where consumer demand meets the supply of supermarkets and other equivalent forms of commerce located within less than 15 minutes by car. These may include, in addition to supermarkets, hypermarkets and discount stores located in the secondary area.</w:t>
      </w:r>
    </w:p>
    <w:p>
      <w:r>
        <w:t>91. However, other criteria may be taken into account to assess the impact of a concentration on the competitive situation in retail distribution markets, which may lead to refining the usual delineations in isochrone areas, based for example on the analysis of actual consumer behavior (assessed by examining surveys or calculating diversion ratios). Thus, as recalled in paragraph 545 of the Authority's guidelines on the control of concentrations, the Authority may use the so-called "actual footprints" method to establish the relevant geographic market taking into account the actual behavior of consumers.</w:t>
      </w:r>
    </w:p>
    <w:p>
      <w:r>
        <w:t>92. To this end, the Authority delineates catchment areas based on the actual location of customers of a point of sale. Consumer behavior in a given area can thus be specified with the data collected by stores on the actual location of their customers. It is generally considered that the catchment area of a store can be limited to that which encompasses customers representing 80% of the store's turnover or 80% of the store's customers, depending on the available data. The remainder is considered as occasional and insignificant clientele, sometimes very far from the point of sale.</w:t>
      </w:r>
    </w:p>
    <w:p>
      <w:r>
        <w:t>Position of the notifying parties</w:t>
      </w:r>
    </w:p>
    <w:p>
      <w:r>
        <w:t>93. Regarding the geographic definition of the markets concerned by the operation, while the notifying parties do not contest the existence of a market for consumers located within less than 15 minutes of travel time by car for all store formats combined, they do consider that the catchment area delineated by a transport time of 30 minutes around a hypermarket is no longer relevant.</w:t>
      </w:r>
    </w:p>
    <w:p>
      <w:r>
        <w:t>94. The parties argue that while this delineation may have been retained, notably in the Carrefour/Promodès decision in 2000, the number of hypermarkets present in France has increased since then and this normalization of supply would have "created the conditions for objective substitutability" in areas reduced to about 20 minutes around each hypermarket.</w:t>
      </w:r>
    </w:p>
    <w:p>
      <w:r>
        <w:t>Assessment in the specific case</w:t>
      </w:r>
    </w:p>
    <w:p>
      <w:r>
        <w:t>95. In the specific case, the notifying parties have provided data allowing for the delineation of a catchment area based on actual footprints. The analysis will be conducted on this area, which reflects the actual movements of consumers.</w:t>
        <w:br/>
        <w:t>Map of the actual footprint of the Géant Casino store</w:t>
      </w:r>
    </w:p>
    <w:p>
      <w:r>
        <w:t>III. Competitive Analysis</w:t>
      </w:r>
    </w:p>
    <w:p>
      <w:r>
        <w:t>96. The competitive analysis will focus on the upstream markets for the supply of consumer goods (A) and the downstream markets for the retail distribution of food-dominant products on which the Géant Casino store and the notifying parties are simultaneously present, focusing on the unilateral effects and coordinated effects that could result from the operation (B).</w:t>
      </w:r>
    </w:p>
    <w:p>
      <w:r>
        <w:t>A. ANALYSIS OF THE EFFECTS OF THE OPERATION ON THE UPSTREAM MARKETS FOR THE SUPPLY OF CONSUMER GOODS</w:t>
      </w:r>
    </w:p>
    <w:p>
      <w:r>
        <w:t>97. Regarding the upstream supply markets, the operation concerns only one store whose total purchase amount represents an extremely marginal share of the supply market.</w:t>
      </w:r>
    </w:p>
    <w:p>
      <w:r>
        <w:t>98. The purchasing power of the E. Leclerc movement is therefore not likely to be significantly strengthened, across all products as well as by product category, as a result of the operation.</w:t>
      </w:r>
    </w:p>
    <w:p>
      <w:r>
        <w:t>99. Furthermore, a concentration operation may harm competition by strengthening a purchasing power that places suppliers in a situation of economic dependence on the parties to the operation, provided that the creation or strengthening of this state of dependence risks affecting the structure or functioning of competition in the concerned markets.</w:t>
      </w:r>
    </w:p>
    <w:p>
      <w:r>
        <w:t>100. In the specific case, suppliers supplying the E. Leclerc and Géant Casino hypermarkets in the Troyes agglomeration retain the ability to supply all types of brands and all formats of stores beyond the Troyes agglomeration, the upstream market being of national dimension.</w:t>
      </w:r>
    </w:p>
    <w:p>
      <w:r>
        <w:t>101. Consequently, the operation is not likely to create or strengthen purchasing power, or to place the vast majority of suppliers in a state of economic dependence, in the concerned markets.</w:t>
      </w:r>
    </w:p>
    <w:p>
      <w:r>
        <w:rPr>
          <w:b/>
        </w:rPr>
        <w:t>[Pages 25–27]</w:t>
      </w:r>
    </w:p>
    <w:p>
      <w:r>
        <w:t>B. ANALYSIS OF THE EFFECTS OF THE OPERATION ON THE DOWNSTREAM MARKETS OF RETAIL DISTRIBUTION OF FOOD PRODUCTS</w:t>
      </w:r>
    </w:p>
    <w:p>
      <w:r>
        <w:t>102. As a preliminary point, it should be noted that the initiative for the concentration operation was taken by the target, which put the Géant Casino store in Barberey-Saint-Sulpice up for sale. This sale was at least partly motivated by the lack of competitiveness (and the resulting poor financial situation) of the target store. This was not contested during the session. This lack of competitiveness is primarily explained by a change in the pricing policy of Géant Casino in 2018, with prices at the target store having increased by 8% compared to competitors between early 2018 and early 2019. Ultimately, maintaining such a pricing policy does not seem sustainable: thus, in the absence of the operation under review (i.e., the counterfactual situation), it is reasonable to think that this hypermarket will try to lower its prices, or that it will be sold to another brand (other than E. Leclerc), which will be able to lower its selling prices. In this regard, the investigation showed that third parties might have been interested in a takeover. In both cases, this counterfactual situation, against which the effects of the operation must be assessed, implies a decrease in prices practiced at the Géant Casino, without leading to a reduction in the number of hypermarket brands present in the area.</w:t>
      </w:r>
    </w:p>
    <w:p>
      <w:r>
        <w:t>1. THE MARKET SHARE OF THE NEW ENTITY IN THE DOWNSTREAM MARKETS OF RETAIL DISTRIBUTION OF FOOD PRODUCTS</w:t>
      </w:r>
    </w:p>
    <w:p>
      <w:r>
        <w:t>a) Methodology adopted</w:t>
      </w:r>
    </w:p>
    <w:p>
      <w:r>
        <w:t>103. Traditionally, market shares related to the downstream market of retail distribution of food products are calculated based on the surface area of the sales points. However, point 226 of the guidelines of the Authority regarding the control of concentrations specifies: “[T]he notifying party may propose alternative methods of calculating market shares by justifying its proposal and clearly indicating the assumptions used, without being exempt from submitting market shares calculated according to the usual method.”</w:t>
      </w:r>
    </w:p>
    <w:p>
      <w:r>
        <w:t>104. This method of calculation is explained by the fact that commercial surfaces constitute an objective, accessible data reflecting the competitive potential of a store, as the notifying parties generally do not have the turnover figures achieved by their competitors. However, it is generally accepted that market shares expressed in value can also reflect the market power exercised by companies, especially if significant differences in profitability per square meter between sales points are observed.</w:t>
      </w:r>
    </w:p>
    <w:p>
      <w:r>
        <w:t>105. In this case, given the significant profitability gap between the target sales point and other sales points in the area, the Authority reconstructed the markets in terms of turnover through market tests. The competitive analysis was thus conducted based on the surfaces of the sales points, and then supplemented, where appropriate, by an analysis based on turnover.</w:t>
      </w:r>
    </w:p>
    <w:p>
      <w:r>
        <w:t>b) Analysis of the catchment area</w:t>
      </w:r>
    </w:p>
    <w:p>
      <w:r>
        <w:t>106. The notifying parties consider, based on the decision-making practice of the Authority, that all food-dominant sales points present in the catchment area are hypermarkets as long as their surface area exceeds 2,500 m², namely:</w:t>
      </w:r>
    </w:p>
    <w:p>
      <w:r>
        <w:t>| Group | Number of | Number of | Proportion of | Surface Area |</w:t>
        <w:br/>
        <w:t>|-------|-----------|-----------|---------------|--------------|</w:t>
        <w:br/>
        <w:t>|       | Communes  | References | Products in CA |              |</w:t>
        <w:br/>
        <w:t>|       |           |           | Daily          |              |</w:t>
        <w:br/>
        <w:t>| Barberey- | Géant Casino | [80 – 90]% | 40,000 | 8,210 m² |</w:t>
        <w:br/>
        <w:t>| Saint-Sulpice |           |           | 20,000 |              |</w:t>
        <w:br/>
        <w:t>|       |           |           | 10,000 |              |</w:t>
        <w:br/>
        <w:t>|       |           |           | 5,000 |              |</w:t>
        <w:br/>
        <w:t>| Saint- | E. Leclerc | [60-70]% | 10,883 m² |</w:t>
        <w:br/>
        <w:t>| Parres-aux-Tertres |           |           | 40,000 |              |</w:t>
        <w:br/>
        <w:t>|       |           |           | 30,000 |              |</w:t>
        <w:br/>
        <w:t>|       |           |           | 20,000 |              |</w:t>
        <w:br/>
        <w:t>|       |           |           | 10,000 |              |</w:t>
        <w:br/>
        <w:t>| Saint- | Intermarché | [90 – 100]% | 2,980 m² |</w:t>
        <w:br/>
        <w:t>| Julien-Les-Villas | Super |           | 15,000 |              |</w:t>
        <w:br/>
        <w:t>|       |           |           | 5,000 |              |</w:t>
        <w:br/>
        <w:t>|       | Intermarché | Creney- | 2,790 m² |</w:t>
        <w:br/>
        <w:t>|       | [90 – 100]% | Super près-Troyes |           |              |</w:t>
        <w:br/>
        <w:t>|       |           |           | 20,000 |              |</w:t>
        <w:br/>
        <w:t>|       | Carrefour | La-Chapelle- | [70 – 80]% | 6,823 m² |</w:t>
        <w:br/>
        <w:t>|       |           | Saint-Luc |           |              |</w:t>
        <w:br/>
        <w:t>|       | Carrefour | Saint-André-Les-Vergers | [60 – 70]% | 10,838 m² |</w:t>
        <w:br/>
        <w:t>|       |           |           | 40,000 |              |</w:t>
        <w:br/>
        <w:t>|       |           |           | 50,000 |              |</w:t>
      </w:r>
    </w:p>
    <w:p>
      <w:r>
        <w:t>107. As recalled in paragraph 50 of this decision, beyond the criterion of the commercial surface area of the sales point, the reality of the actual positioning of a sales point must be analyzed in light of criteria such as the diversity of the offer, the depth of the range, the accessibility of the store, or the services provided to consumers. The sales area serves as an indicator, but it must be analyzed in relation to the surface areas of other sales points present in the catchment area.</w:t>
      </w:r>
    </w:p>
    <w:p>
      <w:r>
        <w:t>108. In this case, it emerges from the investigation that, in the Troyes agglomeration, the Géant Casino sales point in Barberey-Saint-Sulpice, the E. Leclerc in Saint-Parres-aux-Tertres, and the Carrefour in La-Chapelle-Saint-Luc and Saint-André-Les-Vergers each constitute hypermarkets. With a surface area exceeding 6,800 m², they are located in accessible commercial hubs and offer a diversity of products, including private labels and a significant depth of range, as illustrated in the table above.</w:t>
      </w:r>
    </w:p>
    <w:p>
      <w:r>
        <w:t>109. Insofar as, on the one hand, the surface area of this Intermarché (or "ITM") Super store is slightly above the threshold usually retained by practice to characterize a hypermarket, while being significantly smaller compared to the hypermarkets in the area, and where, on the other hand, the managers of this sales point consider it to be a supermarket, the investigation focused on determining whether it could indeed be classified as a hypermarket.</w:t>
      </w:r>
    </w:p>
    <w:p>
      <w:r>
        <w:t>110. Firstly, the statements collected from the various interested parties attest to the supermarket nature of the ITM in Saint-Julien-les-Villas.</w:t>
      </w:r>
    </w:p>
    <w:p>
      <w:r>
        <w:t>111. In this regard, the Authority visited several stores classified as hypermarkets by the notifying parties. On this occasion, the president of the ITM Super store in Saint-Julien-les-Villas was interviewed and indicated, while discussing his sales point, that “its surface area is far below that of the hypermarkets in the Troyes area and 95% of its turnover is generated by the sale of food products, which does not correspond to the operating model of traditional hypermarkets that generally generate 30% to 40% of their turnover from the sale of non-food products.” Furthermore, he also stated that “ITM supermarkets all generate 95% of their turnover from food products, the presence of 100,000 m² of factory stores makes it impossible to profitably operate textile departments. Non-food becomes simply a backup offer in our aisles.” He also confirmed, during the session before the Authority, the backup nature of the non-food offer present in his sales point.</w:t>
      </w:r>
    </w:p>
    <w:p>
      <w:r>
        <w:t>112. Moreover, the manager of the E. Leclerc hypermarket in Saint-Parres-aux-Tertres confirmed, during his hearing, the statements of the manager of the ITM Super store in Saint-Julien-les-Villas, indicating in particular that, on the one hand, “[t]he offer of non-food products is very important for our activity,” understood as the activity of hypermarkets, and on the other hand that “Intermarché hypermarkets consist of 100% food products.”</w:t>
      </w:r>
    </w:p>
    <w:p>
      <w:r>
        <w:t>113. It follows from these statements that non-food products have a significant place in the hypermarkets of the area, which was also observed by the Authority during visits to the Carrefour sales points in La-Chapelle-Saint-Luc, Géant Casino, and E. Leclerc. The manager of the E. Leclerc hypermarket in Saint-Parres-aux-Tertres thus acknowledges that the ITM sales points in the area do not have the capacity, either in terms of surface area or in terms of offer, to meet the expectations of hypermarket consumers and therefore cannot be compared to the other hypermarkets in the area.</w:t>
      </w:r>
    </w:p>
    <w:p>
      <w:r>
        <w:t>114. Furthermore, the manager of the E. Leclerc hypermarket in Saint-Parres-aux-Tertres indicated during the session before the Authority that, while he conducts price surveys in this ITM Super store via the Nielsen institute, these are quarterly, whereas he records prices monthly from Carrefour hypermarkets.</w:t>
      </w:r>
    </w:p>
    <w:p>
      <w:r>
        <w:t>115. Finally, the particularity of the ITM Super store in Saint-Julien-les-Villas was also confirmed by the Carrefour group during the session before the Authority: according to the representatives of the brand, it is considered a supermarket by consumers in light of its offer and surface area. As it does not offer the same diversity as a hypermarket and has a narrower range, it is, according to the Carrefour group, not directly competing with the hypermarkets in the area. Moreover, the Carrefour group confirmed during the session that competitive monitoring is primarily conducted in the other hypermarket formats in the area, namely in the Géant Casino and Carrefour sales points.</w:t>
      </w:r>
    </w:p>
    <w:p>
      <w:r>
        <w:rPr>
          <w:b/>
        </w:rPr>
        <w:t>[Pages 28–30]</w:t>
      </w:r>
    </w:p>
    <w:p>
      <w:r>
        <w:t>E. Leclerc. Finally, it emerges from the responses of the Carrefour group during the investigation that, regarding price setting in its hypermarkets in the Troyes agglomeration, “[t]he prices charged take into account the prices of the competition to be the most relevant. For the two Carrefour hypermarkets in the Troyes agglomeration, the prices take into account those charged in the Leclerc stores of Saint Parres aux Tertres and Géant Casino of Barberey Saint Sulpice.”</w:t>
      </w:r>
    </w:p>
    <w:p>
      <w:r>
        <w:t>116. Secondly, for comparison, it emerges from the investigation that the E. Leclerc hypermarket generates more than 30% of its turnover from non-daily products, a category even more restrictive than the non-food category, as it does not include certain non-food products. Furthermore, the allocation of shelf space in the E. Leclerc hypermarket is as follows: [40-50]% for non-food and [40-50]% for food, with the remainder allocated to seasonal items. Thus, approximately […] m² are dedicated to non-food products, an area larger than the entire ITM Super store in Saint-Julien-les-Villas.</w:t>
      </w:r>
    </w:p>
    <w:p>
      <w:r>
        <w:t>117. Still for comparison, while the ITM Super store in Saint-Julien-les-Villas offers approximately 28,000 references, including 8,000 in non-food, which brings it closer to the offerings present in the supermarkets of the area, the Carrefour, Géant Casino, and E. Leclerc hypermarkets all have a complete offering in both food and non-food products. The E. Leclerc hypermarket thus offers more than 60,000 references, of which approximately [30,000-40,000] are in non-food, while the Carrefour hypermarkets offer more than 70,000.</w:t>
      </w:r>
    </w:p>
    <w:p>
      <w:r>
        <w:t>118. In light of these elements, the Authority considers that the ITM Super store in Saint-Julien-les-Villas does not have a hypermarket offering.</w:t>
      </w:r>
    </w:p>
    <w:p>
      <w:r>
        <w:t>119. Thirdly, this analysis is supported by the results of surveys conducted among consumers of the Géant Casino store and the E. Leclerc hypermarket in Saint-Parres-aux-Tertres.</w:t>
      </w:r>
    </w:p>
    <w:p>
      <w:r>
        <w:t>120. Thus, in the event that the Géant Casino store were to increase the prices of daily products by 10%, 64.5% of consumers would choose to continue shopping at this store, while 10.1% would switch to one of the two Carrefour hypermarkets and 10.2% to the E. Leclerc store, with less than 2% switching to the ITM Super store in Saint-Julien-les-Villas.</w:t>
      </w:r>
    </w:p>
    <w:p>
      <w:r>
        <w:t>121. While this observation of low switching can be tempered by the distance between the target store and the ITM Super store, the results of the survey conducted among consumers of the E. Leclerc hypermarket lead to a similar conclusion.</w:t>
      </w:r>
    </w:p>
    <w:p>
      <w:r>
        <w:t>122. Thus, if the E. Leclerc hypermarket chose to increase the prices of daily products by 10%, 39.9% of consumers would choose to continue shopping at this store, 21.8% of them would switch to one of the two Carrefour hypermarkets, while only 4.7% would switch to the ITM Super store in Saint-Julien-les-Villas. While only 1.7% of respondents indicated they would switch to the Géant Casino store, it is nevertheless considered a hypermarket, given the arguments developed in paragraphs 133 and following.</w:t>
      </w:r>
    </w:p>
    <w:p>
      <w:r>
        <w:t>123. It follows from these two surveys that consumers do not consider the ITM Super store in Saint-Julien-les-Villas as an alternative to hypermarkets, but rather as a supermarket.</w:t>
      </w:r>
    </w:p>
    <w:p>
      <w:r>
        <w:t>124. All these elements lead the Authority to consider that despite its sales area exceeding 2,500 m², the ITM Super store in Saint-Julien-les-Villas should be regarded as a supermarket for the purposes of competitive analysis.</w:t>
      </w:r>
    </w:p>
    <w:p>
      <w:r>
        <w:t>The Intermarché Super Store in Creney-près-Troyes</w:t>
      </w:r>
    </w:p>
    <w:p>
      <w:r>
        <w:t>125. The notifying parties mention the presence of a store under the ITM Super brand, located in Creney-près-Troyes, which obtained an extension authorization from the Departmental Commission for Commercial Development (hereinafter “CDAC”) at the end of November 2019, allowing its sales area to increase from 2,000 m² to 2,790 m². They thus estimate that, considering its future area, this store should be regarded as a hypermarket.</w:t>
      </w:r>
    </w:p>
    <w:p>
      <w:r>
        <w:t>126. Regarding the area to be considered, the Authority's decision-making practice holds that the potential competition exerted by a competing store, existing only at the project stage at the time of the examination of the operation, can only be taken into account in the competitive analysis if its opening is sufficiently certain and imminent to counteract any potential exercise of market power by the new entity.</w:t>
      </w:r>
    </w:p>
    <w:p>
      <w:r>
        <w:t>127. In the field of food distribution, these conditions are considered to be met when the projects in question have received authorization from the CDAC and the opening of the stores is to occur within a sufficiently close timeframe. More specifically, openings planned within a year, having received the necessary authorizations and cleared of any possibility of appeal, have been considered by decision-making practice as sufficiently certain and imminent.</w:t>
      </w:r>
    </w:p>
    <w:p>
      <w:r>
        <w:t>128. In this case, in view of the criteria just recalled, the Authority took this extension into account in its competitive analysis, as the extension is to be implemented in the short term.</w:t>
      </w:r>
    </w:p>
    <w:p>
      <w:r>
        <w:t>129. Given that the area of this ITM Super store is also above the threshold usually retained by practice, the investigation focused on determining whether it indeed constitutes a hypermarket format.</w:t>
      </w:r>
    </w:p>
    <w:p>
      <w:r>
        <w:t>130. It was confirmed during the session before the Authority that the ITM Super store in Creney-près-Troyes would have a smaller area than that of the ITM Super store in Saint-Julien-les-Villas, while maintaining a similar assortment consisting of 95% food products.</w:t>
      </w:r>
    </w:p>
    <w:p>
      <w:r>
        <w:t>131. Therefore, the reasoning developed regarding the ITM Super store in Saint-Julien-les-Villas is transposable to the ITM Super store in Creney-près-Troyes.</w:t>
      </w:r>
    </w:p>
    <w:p>
      <w:r>
        <w:t>132. All these elements lead the Authority to consider that despite its sales area exceeding 2,500 m², the ITM Super store in Creney-près-Troyes should be regarded as a supermarket for the purposes of competitive analysis.</w:t>
      </w:r>
    </w:p>
    <w:p>
      <w:r>
        <w:t>The Géant Casino Store</w:t>
      </w:r>
    </w:p>
    <w:p>
      <w:r>
        <w:t>133. The notifying parties consider that if the ITM Super stores in Creney-près-Troyes and Saint-Julien-les-Villas were to be reclassified as supermarkets, the target store, generating a turnover lower than that of the ITM store in Saint-Julien-les-Villas, should also be reclassified.</w:t>
      </w:r>
    </w:p>
    <w:p>
      <w:r>
        <w:t>134. Regarding the Géant Casino store, it is in financial difficulty, as evidenced by its turnover and the statements made by all parties during the investigation. Furthermore, the turnover generated is not a criterion for determining the format of a store. As recalled in paragraphs 50 and 107 of this decision, the elements allowing for the analysis of the category in which a store falls are primarily the diversity of the offering, the depth of range, accessibility, and the services provided.</w:t>
      </w:r>
    </w:p>
    <w:p>
      <w:r>
        <w:t>135. In this case, the Géant Casino store meets all these criteria. Moreover, while surveys indicate that it currently does not exert strong competitive pressure on its competitors, particularly on the E. Leclerc hypermarket, it nevertheless possesses strong competitive capacity due to its size and location. In this regard, the Géant Casino store must be included in the hypermarket market.</w:t>
      </w:r>
    </w:p>
    <w:p>
      <w:r>
        <w:t>136. Thus, the Authority considers that there are three brands in the hypermarket market in the Troyes agglomeration: E. Leclerc, Carrefour, and Casino.</w:t>
      </w:r>
    </w:p>
    <w:p>
      <w:r>
        <w:rPr>
          <w:b/>
        </w:rPr>
        <w:t>[Pages 31–33]</w:t>
      </w:r>
    </w:p>
    <w:p>
      <w:r>
        <w:t>Market Shares of the New Entity</w:t>
      </w:r>
    </w:p>
    <w:p>
      <w:r>
        <w:t>137. Regarding the market comprising supermarkets and equivalent forms of commerce (hypermarkets, hard discount, and popular stores), it follows from the previous paragraphs that the market share of the new entity will be [30-40]% in terms of surface area and at most [30-40]% in terms of turnover. This level of market share is well below the threshold of 50% above which the decisional practice presumes the existence of significant market power. Furthermore, the new entity will continue to face competition from the brands Carrefour, ITM, Lidl, Casino, Leader Price, and Système U.</w:t>
      </w:r>
    </w:p>
    <w:p>
      <w:r>
        <w:t>138. Regarding the market comprising only hypermarkets, the market share of the new entity will be [40-50]% in terms of turnover and [50-60]% in terms of surface area. Moreover, the operation resulting in the creation of a duopoly means that the new entity will only face competition in the area from the two hypermarkets of the Carrefour brand, which will hold [50-60]% market share in terms of turnover and [40-50]% in terms of surface area.</w:t>
      </w:r>
    </w:p>
    <w:p>
      <w:r>
        <w:t>2. EFFECTS ON THE DIVERSITY OF THE OFFER</w:t>
      </w:r>
    </w:p>
    <w:p>
      <w:r>
        <w:t>139. The disappearance of one of the three hypermarket brands results in a mechanical reduction in the diversity of the offer. After the operation, the two E. Leclerc hypermarket outlets in the area will be owned by the same parties, which will harmonize the products marketed and the commercial policies of the target outlet with those offered in the E. Leclerc store in Saint-Parres-aux-Tertres.</w:t>
      </w:r>
    </w:p>
    <w:p>
      <w:r>
        <w:t>140. Indeed, the products that Casino stores have access to through their purchasing center differ from those marketed by the E. Leclerc brand. Thus, the Géant Casino brand focuses its commercial strategy on fresh and organic food products and "beautiful private labels and beautiful assortments," to quote the manager of the E. Leclerc hypermarket during his hearing.</w:t>
      </w:r>
    </w:p>
    <w:p>
      <w:r>
        <w:t>141. Furthermore, the Géant Casino markets [confidential] private label references, and with the brand disappearing from the relevant market, these are products that will no longer be offered to consumers in this market.</w:t>
      </w:r>
    </w:p>
    <w:p>
      <w:r>
        <w:t>142. Thus, following the operation, the duopoly will lead to a reduction in the diversity of the offer for consumers due to the disappearance of one brand in the area.</w:t>
      </w:r>
    </w:p>
    <w:p>
      <w:r>
        <w:t>3. BARRIERS TO ENTRY</w:t>
      </w:r>
    </w:p>
    <w:p>
      <w:r>
        <w:t>143. According to point 601 of the Authority's guidelines, "[t]o assess the effects of a concentration on a market, the Authority identifies sources of potential competition that could discipline the competitive behavior of the new entity. Indeed, when entry into a market is relatively easy, it is unlikely that a concentration will raise significant competition concerns. The existence or absence of barriers to entry in the relevant market is therefore an important factor in the analysis. However, it is necessary to ensure that these entries are possible within a reasonable timeframe and on a sufficient scale to exert real pressure." These barriers to entry can take various forms.</w:t>
      </w:r>
    </w:p>
    <w:p>
      <w:r>
        <w:t>144. The notifying parties argue in their observations to the Authority's report that there are no barriers to entry in the local market of Troyes, citing several operations for the creation and expansion of stores that have taken place in recent years.</w:t>
      </w:r>
    </w:p>
    <w:p>
      <w:r>
        <w:t>145. However, it emerges from the investigation that the Troyes area presents a local particularity characterized by a strong limitation on the expansion and creation of new commercial real estate surfaces. The AID Observatoire firm conducted a diagnostic of the Troyes Champagne Métropole territory in January 2017, noting a high density of commercial surfaces in the Troyes agglomeration. This "saturation," represented by a percentage of 27% of large and medium-sized surfaces compared to agglomerations of equivalent size (35% if only food surfaces are considered), while at the same time the area offers few prospects for commercial development (stagnation of consumer spending in recent years), has prompted local elected officials to take measures to establish limits on the creation and expansion of large and medium-sized surfaces.</w:t>
      </w:r>
    </w:p>
    <w:p>
      <w:r>
        <w:t>146. It is in this context that the elected officials of Troyes Champagne adopted a Commercial Development Charter in March 2019, at the scale of the agglomeration, to regulate the construction of commercial real estate surfaces. Among the principles retained is the limitation of "authorizations for projects to create or expand large and medium-sized surfaces and commercial complexes in existing hubs to non-competitive projects for the current commercial fabric and providing real added value for customers."</w:t>
      </w:r>
    </w:p>
    <w:p>
      <w:r>
        <w:t>147. Thus, in the commercial zones of the Troyes agglomeration, the Charter indicates that it is not only prohibited to create new food surfaces, most often over 1,000 m², but also that expansions of existing surfaces are only authorized when they are necessary for the modernization of existing businesses (limited to 10% of the floor area).</w:t>
      </w:r>
    </w:p>
    <w:p>
      <w:r>
        <w:t>148. Furthermore, the Charter also mentions the prohibition of developing new peripheral commercial zones or isolated businesses that would seek to establish themselves by capturing traffic flows.</w:t>
      </w:r>
    </w:p>
    <w:p>
      <w:r>
        <w:t>149. According to the parties' observations, this Charter has not had any effects despite its adoption. However, while this document does not have a directly enforceable character, its objectives, which reflect the strategy adopted by the elected officials regarding land use planning, have been incorporated into the orientations of the Territorial Coherence Scheme (SCOT), which is binding on the entire department of Aube.</w:t>
      </w:r>
    </w:p>
    <w:p>
      <w:r>
        <w:t>150. The SCOT indicates that, "[t]he drafting of the DAAC is directly derived from the Commercial Development Charter adopted by Troyes Champagne Métropole at its scale," and is presented in particular in the form of sheets outlining the orientations and objectives in terms of commerce. Thus, for the municipality of Barberey-Saint-Sulpice, on the one hand, the expansion for modernization of existing surfaces "is permitted at constant land area, provided that the new floor area does not exceed by more than 10% that which exists at the date of approval of the SCOT," and on the other hand, it is necessary to "[a]void new food sales surfaces of more than 1,000 m² (no new supermarkets desired). Food sales surfaces between 300 and 1,000 m² must meet a proven identified need and must not undermine the vitality of centralities."</w:t>
      </w:r>
    </w:p>
    <w:p>
      <w:r>
        <w:t>151. The approval of the SCOT occurred in early 2020, and it came into effect on July 29, 2020, meaning that the requests for expansions or establishments cited by the parties in their observations are prior to this date.</w:t>
      </w:r>
    </w:p>
    <w:p>
      <w:r>
        <w:t>152. Thus, contrary to what the parties claim, there are indeed significant limitations regarding the construction of commercial real estate surfaces in the Troyes agglomeration.</w:t>
      </w:r>
    </w:p>
    <w:p>
      <w:r>
        <w:t>153. This local particularity of the Troyes agglomeration thus accentuates the consequences related to the strengthening of the position of the new entity in the market and to the duopoly structure in terms of hypermarkets, with barriers to entry being likely to eliminate any potential competition.</w:t>
      </w:r>
    </w:p>
    <w:p>
      <w:r>
        <w:t>154. Considering the market share of the new entity in the relevant hypermarket market, the transition from three brands to two brands resulting from the proposed operation, and the existence of strong barriers to entry, the Authority analyzed the unilateral and coordinated effects that could result from the proposed concentration operation.</w:t>
      </w:r>
    </w:p>
    <w:p>
      <w:r>
        <w:t>4. INCENTIVES TO INCREASE PRICES OF THE NEW ENTITY</w:t>
      </w:r>
    </w:p>
    <w:p>
      <w:r>
        <w:t>155. The notifying parties argue that they will have no incentive to increase selling prices to consumers in the target outlet as well as in the current E. Leclerc hypermarket in Saint-Parres-aux-Tertres, owned by Mr. Le Hen once the concentration is completed.</w:t>
      </w:r>
    </w:p>
    <w:p>
      <w:r>
        <w:t>156. To assess the unilateral effects, the Authority examined the incentives for price increases in the target hypermarket and in the E. Leclerc hypermarket (hereinafter "the concerned stores"), notably through GUPPI indices. These indices provide a quantitative assessment of the risk of price increases: the closer the competitive proximity between the stores participating in the operation (i.e., the higher the diversion ratio), the higher the GUPPI indicator and the greater the risk of price increases. Conversely, significant efficiency gains generated by the operation in the form of cost reductions in one of the two stores decrease the risk of price increases indicated by the GUPPI. According to the Authority's guidelines and its decisional practice, when the GUPPI index is above 5%, the operation is likely to generate significant effects.</w:t>
      </w:r>
    </w:p>
    <w:p>
      <w:r>
        <w:rPr>
          <w:b/>
        </w:rPr>
        <w:t>[Pages 34–36]</w:t>
      </w:r>
    </w:p>
    <w:p>
      <w:r>
        <w:t>157. In the specific case, the hypermarkets selling both daily products and non-daily products, the extent of the risk of a price increase for daily products depends on the diversion ratios between the two stores for daily products, but also on the shifts regarding non-daily products. Indeed, if one of the two stores raises its prices for daily products, the relevant diversion ratio for assessing the risk of price increase must include both daily products and non-daily products, noting that in such a hypothesis, a consumer may for example choose to do their daily product shopping at the other store but also their non-daily product shopping. This shift in non-daily product purchases increases the risk of a price increase due to the operation on daily products, an increase that is reflected through so-called "multi-product" GUPPI indices.</w:t>
      </w:r>
    </w:p>
    <w:p>
      <w:r>
        <w:t>158. To formulate the multi-product GUPPI index resulting from a concentration operation involving two companies, 1 and 2, let us consider that each of these companies sells two types of complementary products, A and B; company 1 thus sells products A1 and B1 and company 2 sells products A2 and B2. When company 1 raises the price of product A1, consumers shift some of their purchases from product A1 to product A2 of company 2. However, due to the complementarity between products of type A and B, these same consumers will also increase their purchases of product B2 when they shift some of their purchases from product A1 to product A2. For this reason, the multi-product GUPPI index is decomposed into two terms:</w:t>
      </w:r>
    </w:p>
    <w:p>
      <w:r>
        <w:t>159. The first term measures the upward pressure on the price of product A1 due to the increase in consumption of products A2 related to the shift from products A1 to these products A2. This term corresponds to the profit made on the additional sales of product A2, reported to the number of lost units of product A1 (product of the diversion ratio, the margin on good A2, and the ratio of the prices of products A1 and A2).</w:t>
      </w:r>
    </w:p>
    <w:p>
      <w:r>
        <w:t>160. The second term measures the upward pressure on the price of product A1 due to the increase in consumption of products B2 related to the shift from products A1 to products B2. This term corresponds to the profit made on the additional sales of product B2, reported to the number of lost units of product A1 (product of the diversion ratio, the margin on good B2, and the ratio of the prices of products A1 and B2). According to this indicator, the sale of complementary products thus reinforces the incentives for price increases resulting from the concentration operation.</w:t>
      </w:r>
    </w:p>
    <w:p>
      <w:r>
        <w:t>161. The diversion ratios for daily products and non-daily products have been evaluated through the surveys described above. The assessment of these diversion ratios requires estimating, on the one hand, the lost sales in the store raising its prices and, on the other hand, the sales shifted to the other concerned store. The lost sales in the store raising its prices have been estimated by the Authority as well as by the notifying parties using the survey question asking respondents to specify how much they would reduce their spending in the event of a price increase in the visited store. The Authority and the notifying parties, however, estimated the sales shifted to the other concerned store using different methods.</w:t>
      </w:r>
    </w:p>
    <w:p>
      <w:r>
        <w:t>162. The Authority relied on the responses to a question asking respondents the amounts they would shift to the other concerned store. The notifying parties, for their part, noted that respondents tended to report high amounts of shifts to the other concerned store even though they had indicated another store as their main alternative point of sale, thus suggesting that the shifts could be overestimated. Due to this presumed bias, and to account for the number of alternative stores chosen by respondents, the notifying parties divide the amounts of shifts by the number of stores chosen by each respondent. This method, however, is also likely to generate biases by giving the same weight to alternative stores of second, third, or even fourth or fifth choice as to the main alternative store. In any case, this divergence of approach between the notifying parties and the Authority does not alter the conclusions of the analysis presented below.</w:t>
      </w:r>
    </w:p>
    <w:p>
      <w:r>
        <w:t>163. The margin level of the concerned stores, which also plays a role in the calculation of the GUPPI indices, is estimated based on the sales values and variable costs for the year 2019 provided by the acquirer and the target, distinguishing between margins on daily products and non-daily products.</w:t>
      </w:r>
    </w:p>
    <w:p>
      <w:r>
        <w:t>a) Risk of price increase of the former Géant Casino hypermarket/future E. Leclerc hypermarket</w:t>
      </w:r>
    </w:p>
    <w:p>
      <w:r>
        <w:t>164. The diversion ratio from the Géant Casino hypermarket to the E. Leclerc hypermarket calculated through the responses to the survey conducted in the Géant Casino hypermarket is relatively significant, between [30-40]% and [30-40]% depending on the calculation method, leading to GUPPI indices between [5-10]%, which is a level above the 5% threshold mentioned in the guidelines.</w:t>
      </w:r>
    </w:p>
    <w:p>
      <w:r>
        <w:t>165. On the other hand, the notifying parties emphasize that the operation should significantly reduce the purchasing costs of the Géant Casino store, at least for daily products, allowing it to benefit from the lower purchasing costs of the E. Leclerc store. To quantify this reduction in costs, the notifying parties deduct from the Nielsen price indices and the margins on variable costs of the two stores for daily products the difference between the variable costs of the two stores for these products. The price indices and margins for the year 2019 thus lead to an estimate, following this methodology, that efficiency gains on the purchase of daily products could be [10-20]% (depending on the price index used), which are sufficient gains to offset the price increase incentives suggested by the multi-product GUPPI indices.</w:t>
      </w:r>
    </w:p>
    <w:p>
      <w:r>
        <w:t>166. As noted by the notifying parties, these efficiency gains are such that the prices of daily products in the target store should decrease after the operation.</w:t>
      </w:r>
    </w:p>
    <w:p>
      <w:r>
        <w:t>167. The Authority notes that, on the one hand, the price increases in the Géant Casino store, which explain the high efficiency gains that the notified operation would generate, date primarily from 2018, and on the other hand, that the submitted elements do not allow verifying whether the currently higher costs of the Géant Casino hypermarket compared to the E. Leclerc hypermarket stem from higher purchasing costs of the Casino central purchasing office or from high purchasing prices of the store from the Casino central purchasing office, in which case, a consolidated margin of the Casino group on the Géant Casino store would be much higher than that produced by the parties, which only concerns the margin of the store (or a combination of these two factors). On this last point, the notifying parties indicated, without further specification, that they were confirmed through the lawyer of the Casino group that "the Casino purchasing centers are not profit centers and retain only the margin necessary for their structural costs. This means that the higher purchasing costs of the Géant Casino result simply from the higher purchasing costs of the Casino purchasing centers."</w:t>
      </w:r>
    </w:p>
    <w:p>
      <w:r>
        <w:t>168. Ultimately, due to the reduction in purchasing costs of the store that should result from the transition to the E. Leclerc brand of the target, and to the extent that potential coordinated effects are disregarded (cf. infra), it appears likely that prices will decrease in the target store compared to those observed before the operation. However, there is a risk of unilateral effect, the counterfactual situation (i.e., in the absence of the operation) likely also involving a price decrease, either due to a takeover of the target by another acquirer, or because the target would change its commercial/pricing policy (cf. paragraph 102 above).</w:t>
      </w:r>
    </w:p>
    <w:p>
      <w:r>
        <w:t>b) Risk of price increase of the current E. Leclerc hypermarket</w:t>
      </w:r>
    </w:p>
    <w:p>
      <w:r>
        <w:t>The results derived from the diversion ratio of the current E. Leclerc hypermarket to the Géant Casino hypermarket</w:t>
      </w:r>
    </w:p>
    <w:p>
      <w:r>
        <w:t>169. On this point, the notifying parties estimate that, since the diversion ratio from the E. Leclerc store to the current Géant Casino hypermarket is low, the risk of price increase is itself very limited. The diversion ratios are estimated between [0-5]% and [0-5]% depending on the calculation method, leading to GUPPI indices between [0-5]%, which is a level very much below the usual 5% threshold.</w:t>
      </w:r>
    </w:p>
    <w:p>
      <w:r>
        <w:t>The limitations of this analysis</w:t>
      </w:r>
    </w:p>
    <w:p>
      <w:r>
        <w:t>170. However, several factors significantly undermine the scope of this result.</w:t>
      </w:r>
    </w:p>
    <w:p>
      <w:r>
        <w:t>171. Firstly, the notifying parties themselves estimate that "the Leclerc stores of Mr. Le Hen will not benefit from efficiency gains following the operation." Therefore, the fact that the GUPPI index is below the 5% threshold does not necessarily mean that there will not be a price increase – even if, on the other hand, the magnitude of this price increase will likely be limited. This reservation is all the more legitimate as in</w:t>
      </w:r>
    </w:p>
    <w:p>
      <w:r>
        <w:rPr>
          <w:b/>
        </w:rPr>
        <w:t>[Pages 37–39]</w:t>
      </w:r>
    </w:p>
    <w:p>
      <w:r>
        <w:t>within the framework of a Phase II examination of the operation, any potential efficiency gains generated by the operation for the E. Leclerc hypermarket, if they existed, could have been demonstrated by the notifying parties, even if only qualitatively.</w:t>
      </w:r>
    </w:p>
    <w:p>
      <w:r>
        <w:t>172. Secondly, as indicated in paragraph 61 above, the sample of respondents, both in the Géant Casino store and in the E. Leclerc store, underestimates the importance of spending on non-daily products, which limits the usefulness of the survey in this regard. Indeed, according to the survey, spending on non-daily products represents only [5-10]% of the total spending of respondents from the E. Leclerc store, whereas they account for more than 30% of the turnover of the E. Leclerc hypermarket. However, it is challenging to correct this underestimation of spending on non-daily products by over-weighting the reports on non-daily products. Indeed, as the notifying parties remind in their note in deliberation, non-daily products are of a very great diversity and can be purchased from very different buyers; the choices of reporting stores may then differ depending on the non-daily products considered. As a result, it is uncertain that the reports of spending on non-daily products that were not covered by the survey conducted in the E. Leclerc hypermarket occur in the same stores as those covered by this same survey.</w:t>
      </w:r>
    </w:p>
    <w:p>
      <w:r>
        <w:t>173. Thirdly, once the Géant Casino store is transformed into an E. Leclerc, the diversion ratios from the current E. Leclerc hypermarket to this store will likely be higher than estimated, resulting in an increased risk of price increases. Indeed, the greater efficiency of the Géant Casino store once transformed into an E. Leclerc store should naturally translate into greater attractiveness for this store. Consumers who are already customers of the E. Leclerc brand, thus having a preference for it, will be even more inclined to shift their purchases to the new Leclerc. The revenue projections communicated by the notifying parties for the current Géant Casino hypermarket transformed into an E. Leclerc indicate a doubling of the revenue of this store, which is even more remarkable if the operation is supposed to lead to a decrease in prices at this store. It should be noted that this greater propensity to shift purchases to the Barberey hypermarket would also occur, but likely to a lesser degree, in the event of an acquisition of the store by another brand than E. Leclerc or a change in the commercial policy of Géant Casino.</w:t>
      </w:r>
    </w:p>
    <w:p>
      <w:r>
        <w:t>174. To assess the significance of this "new" diversion ratio from the current E. Leclerc hypermarket to the "new" E. Leclerc hypermarket, it can be emphasized that the diversion ratio from the current Géant Casino to the E. Leclerc store is estimated at [30-40]% (and at [30-40]% by the parties). However, the diversion ratio from the current E. Leclerc store to the new E. Leclerc store (ex-Géant Casino) could, all else being equal, be higher than this level, since these will be diversion ratios between more or less identical stores (i.e., of the same brand, of comparable size, and managed by the same entity) and no longer between different brands with distinct pricing policies and listings. By taking, for illustrative purposes, a diversion ratio of [30-40]%, the mono-product GUPPI index from the current E. Leclerc store to the new E. Leclerc store is 7.6%.</w:t>
      </w:r>
    </w:p>
    <w:p>
      <w:r>
        <w:t>99 This mono-product GUPPI index is calculated assuming that the new E. Leclerc store will have the same margin of [20-30]% on daily products as the current E. Leclerc store. Thus, the mono-product GUPPI is equal to [20-30]%*[confidential]. The multi-product GUPPI, on the other hand, is 8.1%. In addition to the previous assumptions regarding the mono-product GUPPI, it is assumed, on the one hand, that the new E. Leclerc store will have the same margin of [20-30]% on non-daily products as the current E. Leclerc store and, on the other hand, that the cross-diversion ratio (corresponding to the shifts in non-daily products) to the new E. Leclerc store is equal to 1.68%, which is the notifying parties' lowest estimate of this cross-diversion ratio (and which does not take into account the repositioning of the Géant Casino store as an E. Leclerc brand). Thus, the multi-product GUPPI is equal to [20-30]%*[confidential]+[20-30]%*[confidential].</w:t>
      </w:r>
    </w:p>
    <w:p>
      <w:r>
        <w:t>175. The responses to the survey conducted in the current E. Leclerc hypermarket can also be used to evaluate the possible level of the "new" diversion ratio. Initially, it can be considered that respondents from the current E. Leclerc hypermarket living closer to the new E. Leclerc hypermarket (ex-Géant Casino), namely 131 respondents out of 557, will likely do their shopping at the new E. Leclerc store. They will therefore cease to be customers of the current E. Leclerc store and are thus removed from the survey conducted in the E. Leclerc store. Subsequently, once these respondents are removed from the survey, it can be considered that if the current E. Leclerc hypermarket raises its prices, the consumers of the current E. Leclerc remaining in the sample of the survey conducted in the E. Leclerc hypermarket, who had stated they would stop shopping at this hypermarket if it raised its prices and for whom the new E. Leclerc hypermarket will be closer than the reporting store they mentioned during the survey, will likely shift to the new E. Leclerc store. A new diversion ratio of [20-30]% is then obtained, leading to a "mono-product" GUPPI index of 6.1%, which is a level above the previously mentioned threshold of 5%.</w:t>
      </w:r>
    </w:p>
    <w:p>
      <w:r>
        <w:t>176. The notifying parties challenge this analysis through three arguments. They thus emphasize the unprecedented nature of an analysis of diversion ratios and GUPPI following the change of brand of the target store. They also consider that the proposed calculation makes distance the sole or main determinant of store choice, which would contradict the results of the survey. Finally, they point out the imprecision of the location data used, with the exclusion of imprecise data leading to GUPPI values that are very low compared to those calculated by the Authority.</w:t>
      </w:r>
    </w:p>
    <w:p>
      <w:r>
        <w:t>177. However, as shown in the annex to this decision, the notifying parties have not demonstrated that the survey data combined with distance data are irrelevant for understanding the potential diversion ratio between the current E. Leclerc hypermarket and the new E. Leclerc store that will replace the current Géant Casino hypermarket or that the resulting outcomes lack robustness.</w:t>
      </w:r>
    </w:p>
    <w:p>
      <w:r>
        <w:t>178. It is true that the proposed calculation does not take into account the reactions of competing stores to the increased attractiveness of the Géant Casino store once the brand change is made. However, this calculation, which allows for the integration of the consequences of the brand change of the target, also takes into account the reallocations of consumers between the two E. Leclerc hypermarkets and should be read in conjunction with other elements indicating the attractiveness of the E. Leclerc brand (and thus the increase in the diversion ratio following this brand change). It remains useful for assessing the effects of the operation.</w:t>
      </w:r>
    </w:p>
    <w:p>
      <w:r>
        <w:t>179. Similarly, contrary to what the parties assert, the calculation retained by the Authority does not rely solely on distance data since it only studies the choices of consumers who have already chosen a store (in this case, the E. Leclerc hypermarket).</w:t>
      </w:r>
    </w:p>
    <w:p>
      <w:r>
        <w:t>180. Finally, regarding the imprecision of the distance data used, on the one hand, the extent of the imprecision of the distance data is uncertain, on the other hand, the correction proposed by the notifying parties leads to significant biases, and finally, alternative methods to address the imprecision of distance measurements confirm that the diversion ratio derived from the survey and distance data could be sufficiently high to pose a risk of price increases at the current E. Leclerc hypermarket.</w:t>
      </w:r>
    </w:p>
    <w:p>
      <w:r>
        <w:t>181. In any case, this analysis of survey data coupled with distance data from respondents to the various stores only complements the other indices, mentioned above, which already tend to indicate that the diversion ratio from the current E. Leclerc hypermarket to the new E. Leclerc hypermarket will significantly increase. These indices include the expected strong increase in sales of the new E. Leclerc hypermarket, its competitive proximity to the current E. Leclerc hypermarket, and the attraction power of this brand, as evidenced by the high diversion ratios of consumers from the current Géant Casino hypermarket to the current E. Leclerc hypermarket.</w:t>
      </w:r>
    </w:p>
    <w:p>
      <w:r>
        <w:t>182. In light of these elements, which are not contradicted but supported by the analysis of survey data, the Authority therefore considers it very likely that the diversion ratio from the current E. Leclerc hypermarket of Saint-Parres-aux-Tertres to the new E. Leclerc hypermarket of Barberey-Saint-Sulpice is significantly higher than the diversion ratio from the current E. Leclerc hypermarket of Saint-Parres-aux-Tertres to the current Géant Casino hypermarket and sufficiently high to pose a risk of price increases at the current E. Leclerc hypermarket of Saint-Parres-aux-Tertres, it being recalled that the notifying parties themselves ruled out any efficiency gain in the E. Leclerc hypermarket of Saint-Parres-aux-Tertres.</w:t>
      </w:r>
    </w:p>
    <w:p>
      <w:r>
        <w:t>The Low Price Rule of the E. Leclerc Movement</w:t>
      </w:r>
    </w:p>
    <w:p>
      <w:r>
        <w:t>183. The notifying parties highlight the low price policy of the ACDLec, according to which any member must have a comprehensive OPUS index of less than or equal to 97, which would make it impossible to increase the prices charged by E. Leclerc sales outlets in the area.</w:t>
      </w:r>
    </w:p>
    <w:p>
      <w:r>
        <w:t>184. However, even though this price policy imposes a maximum price, it is not, however, capable of preventing the current Leclerc hypermarket from raising its prices. Indeed, according to the notifying parties, the OPUS index of the E. Leclerc hypermarket of Saint-Parres-aux-Tertres was between January 2019 and March 2020 between [confidential] and [confidential] depending on the month of the survey, which is a level below the threshold of 97. In other words, the current E. Leclerc hypermarket has the possibility of raising prices without violating the low price policy of the ACDLec. Moreover, there is no guarantee regarding the sustainability of this rule or its application: stores currently under the Leclerc brand could opt for another brand, and the ACDLec could decide to modify its rule, particularly for the catchment areas where stores of this brand hold market power. Furthermore, the method of calculating this index does not take into account all the references in the store. The comprehensive OPUS index is indeed calculated from price surveys on just over 30,000 references, compared to the total number of over 60,000 references sold in the E. Leclerc hypermarket of Saint-</w:t>
      </w:r>
    </w:p>
    <w:p>
      <w:r>
        <w:rPr>
          <w:b/>
        </w:rPr>
        <w:t>[Pages 40–42]</w:t>
      </w:r>
    </w:p>
    <w:p>
      <w:r>
        <w:t>Saint-Parres-aux-Tertres. The stores under the E. Leclerc brand are only limited in setting their prices for the products that contributed to building the index; the prices of other products can be increased in the absence of an incentive to maintain low prices. Finally, the OPUS index does not take into account the sales or the absolute price of each product whose price is recorded: a store could therefore take advantage of a reduction in competition to set high prices on the best-selling or most expensive products and, to comply with the OPUS index rule, offset these high prices with lower prices on less sold or less expensive products.</w:t>
      </w:r>
    </w:p>
    <w:p>
      <w:r>
        <w:t>185. Thus, the low-price policy of ACDLec, according to which every member must have a comprehensive OPUS index of less than or equal to 97, is not likely to prevent price increases.</w:t>
      </w:r>
    </w:p>
    <w:p>
      <w:r>
        <w:t>c) Conclusion on Unilateral Effects</w:t>
      </w:r>
    </w:p>
    <w:p>
      <w:r>
        <w:t>186. Due to the reduction in purchasing costs that should result from the transition of the target to the E. Leclerc brand, the operation should lead to a decrease in the prices of products in the Géant Casino store/future E. Leclerc store compared to the prices observed before the operation (if we disregard the risk of coordinated effects, see below). However, there is a risk of unilateral effect, as such a price reduction would likely occur even in the absence of the operation, either due to the target being acquired by another buyer or because the target would change its commercial policy. Unlike the operation under review, this counterfactual situation would not lead to a reduction in the number of hypermarket brands in the market. The Authority also considers it very likely that the diversion ratio from the current E. Leclerc hypermarket in Saint-Parres-aux-Tertres to the new E. Leclerc hypermarket in Barberey-Saint-Sulpice will be significantly higher than the diversion ratio from the current E. Leclerc hypermarket in Saint-Parres-aux-Tertres to the current Géant Casino hypermarket and higher than the critical diversion ratio leading to a multi-product GUPPI index exceeding 5%, such that there is a risk of price increases at the current E. Leclerc hypermarket in Saint-Parres-aux-Tertres. As noted above, this latter analysis does not take into account the reactions of competing stores to the price decrease in the Casino hypermarket. A more comprehensive analysis, which involves studying coordinated effects, is presented below.</w:t>
      </w:r>
    </w:p>
    <w:p>
      <w:r>
        <w:t>5. ANALYSIS OF COORDINATED EFFECTS IN THE HYPERMARKET MARKET</w:t>
      </w:r>
    </w:p>
    <w:p>
      <w:r>
        <w:t>187. The Authority's guidelines state in paragraph 737 that "a concentration can change the nature of competition in a market such that companies that, until then, did not coordinate their behavior become much more likely to do so or, if they were already coordinating their behaviors, can do so more easily. This is referred to as coordinated effects, the creation or strengthening of a collective dominant position or a collusive oligopoly, with the operation increasing the incentives and capacity of the companies present in the market to maintain a collusive equilibrium tacitly."</w:t>
      </w:r>
    </w:p>
    <w:p>
      <w:r>
        <w:t>188. Such effects are possible when, "in an oligopolistic market or a highly concentrated market, a concentration results in each member of the relevant oligopoly becoming aware of common interests, making it economically rational and therefore preferable for each member to adopt a consistent course of action in the market, for example, with the aim of selling above competitive prices, without having to enter into an agreement or resort to a concerted practice within the meaning of Articles L. 420-1 or 101 of the TFEU, and without current or potential competitors, or customers and consumers, being able to react effectively."</w:t>
      </w:r>
    </w:p>
    <w:p>
      <w:r>
        <w:t>189. The decisional practice has thus highlighted three conditions for assessing coordinated effects resulting from a concentration operation:</w:t>
        <w:br/>
        <w:t>- a detection condition;</w:t>
        <w:br/>
        <w:t>- a deterrence condition; and</w:t>
        <w:br/>
        <w:t>- a non-contestation condition.</w:t>
      </w:r>
    </w:p>
    <w:p>
      <w:r>
        <w:t>190. The Court of Justice of the European Union also adds that it is not sufficient to verify each of these conditions separately, but it is necessary to highlight a scenario of tacit coordination.</w:t>
      </w:r>
    </w:p>
    <w:p>
      <w:r>
        <w:t>a) The Detection Condition</w:t>
      </w:r>
    </w:p>
    <w:p>
      <w:r>
        <w:t>191. The Authority's guidelines state that for companies to coordinate effectively, they must be able to monitor the market behavior in which they operate. This market must be sufficiently transparent for each member of the collusive oligopoly to be able to:</w:t>
        <w:br/>
        <w:t>- Observe the strategy followed by its competitors;</w:t>
        <w:br/>
        <w:t>- Assess whether an unexpected behavior actually constitutes a violation of the common course of action.</w:t>
      </w:r>
    </w:p>
    <w:p>
      <w:r>
        <w:t>192. To assess the transparency of a market, the Authority's guidelines indicate that it is possible to rely, in particular, on the symmetry of companies and access to market data.</w:t>
      </w:r>
    </w:p>
    <w:p>
      <w:r>
        <w:t>193. In this case, following the operation, only two brands will be present in the hypermarket market in the Troyes agglomeration.</w:t>
      </w:r>
    </w:p>
    <w:p>
      <w:r>
        <w:t>194. This operation should result in a harmonization of the hypermarket offer between the Leclerc stores in Saint Parres aux Tertres and Barberey Saint Sulpice, and consequently, a harmonization of the offer between the Carrefour stores in La Chapelle Saint Luc and Saint André les Vergers.</w:t>
      </w:r>
    </w:p>
    <w:p>
      <w:r>
        <w:t>195. Thus, the two brands will have nearly similar market shares in terms of sales area, and ultimately, potentially similar market shares in terms of turnover.</w:t>
      </w:r>
    </w:p>
    <w:p>
      <w:r>
        <w:t>196. Furthermore, the hypermarkets in the Troyes agglomeration conduct a large number of price surveys within other hypermarkets in the area. Thus, the E. Leclerc hypermarket in Saint-Parres-aux-Tertres has indicated that it records the prices of all references within the Carrefour hypermarkets in the Troyes agglomeration.</w:t>
      </w:r>
    </w:p>
    <w:p>
      <w:r>
        <w:t>197. For its part, the Carrefour brand confirmed that the market transparency was such that it was not possible for a hypermarket to carry out effective promotional operations without its competitor being immediately aware. It also specified that while prices within its two hypermarkets were managed at the national level, they were adjusted locally based on the prices recorded within the E. Leclerc and Géant Casino hypermarkets.</w:t>
      </w:r>
    </w:p>
    <w:p>
      <w:r>
        <w:t>198. Finally, it emerges from the investigation that the E. Leclerc brand itself considers that the detection condition is satisfied "insofar as it is easy for a distributor to observe the selling prices of products marketed by its competitors."</w:t>
      </w:r>
    </w:p>
    <w:p>
      <w:r>
        <w:t>199. The Carrefour and E. Leclerc brands will therefore be able to effectively monitor their behaviors and the market behavior, whether regarding prices or promotional policies.</w:t>
      </w:r>
    </w:p>
    <w:p>
      <w:r>
        <w:t>200. The detection condition is thus fulfilled.</w:t>
      </w:r>
    </w:p>
    <w:p>
      <w:r>
        <w:t>b) The Deterrence Condition</w:t>
      </w:r>
    </w:p>
    <w:p>
      <w:r>
        <w:t>201. The Authority's guidelines state that for coordination to be stable, members of the collusive oligopoly must be able to severely punish any deviations. Threats of retaliation must be credible and significant enough that it is in the interest of each oligopolist to comply with the common course of action. The existence of a credible punitive mechanism is always guaranteed by the simple return to competitive equilibrium.</w:t>
      </w:r>
    </w:p>
    <w:p>
      <w:r>
        <w:t>202. Competitive pressure between two competing stores is all the more intense when they are geographically close.</w:t>
      </w:r>
    </w:p>
    <w:p>
      <w:r>
        <w:t>203. In this case, prior to the operation, the Carrefour hypermarket in Saint-André-les-Vergers is in direct competition with the E. Leclerc hypermarket in Saint-Parres-aux-Tertres, while the Carrefour hypermarket in La-Chapelle-Saint-Luc faces only diminished competitive pressure due to the weak competition exerted by the Géant Casino hypermarket in Barberey-Saint-Sulpice.</w:t>
      </w:r>
    </w:p>
    <w:p>
      <w:r>
        <w:t>204. Following the operation, the new E. Leclerc hypermarket in Barberey-Saint-Sulpice and the Carrefour hypermarket in La-Chapelle-Saint-Luc will now be in direct competition.</w:t>
      </w:r>
    </w:p>
    <w:p>
      <w:r>
        <w:t>205. The E. Leclerc brand will therefore be able to exert significant competitive pressure on each of the Carrefour hypermarkets. Similarly, the Carrefour brand will also be able to exert significant competitive pressure on each of the E. Leclerc hypermarkets. Thus, in the event of coordination between these two brands, E. Leclerc will be able to exert a threat of retaliation on each of the Carrefour hypermarkets through a return to competitive equilibrium, which was not the case before the operation, just as the Carrefour brand could.</w:t>
      </w:r>
    </w:p>
    <w:p>
      <w:r>
        <w:t>206. These retaliations could occur immediately following the observed deviation, making the mechanism even more effective.</w:t>
      </w:r>
    </w:p>
    <w:p>
      <w:r>
        <w:t>207. The parties have thus acknowledged that the deterrence condition is also satisfied due to the presence of a credible retaliation mechanism that would consist, in particular, of significantly lowering prices following an observed deviation within the competing store.</w:t>
      </w:r>
    </w:p>
    <w:p>
      <w:r>
        <w:rPr>
          <w:b/>
        </w:rPr>
        <w:t>[Pages 43–45]</w:t>
      </w:r>
    </w:p>
    <w:p>
      <w:r>
        <w:t>208. The parties nevertheless argue that in France, the possibilities for retaliation are highly dependent on legal rules, particularly the law on restrictive practices. However, the mere return to a normal competition mechanism is likely to constitute a credible retaliation mechanism, rendering the parties' argument ineffective.</w:t>
      </w:r>
    </w:p>
    <w:p>
      <w:r>
        <w:t>209. The risks of retaliation are therefore real and symmetrical between the two brands. The deterrent condition is also satisfied.</w:t>
      </w:r>
    </w:p>
    <w:p>
      <w:r>
        <w:t>c) The condition of non-contestation</w:t>
      </w:r>
    </w:p>
    <w:p>
      <w:r>
        <w:t>210. The Authority's guidelines stipulate that for coordination to be beneficial to the participating companies, it must not be disrupted by other actors present or potentially present in the market.</w:t>
      </w:r>
    </w:p>
    <w:p>
      <w:r>
        <w:t>Regarding competitors present in the hypermarket market</w:t>
      </w:r>
    </w:p>
    <w:p>
      <w:r>
        <w:t>211. In this case, the competitive analysis has shown that the brands Carrefour and E. Leclerc would be the only active players in the hypermarket market. There is therefore no current competition likely to contest a tacit coordination between these two brands.</w:t>
      </w:r>
    </w:p>
    <w:p>
      <w:r>
        <w:t>212. The parties argue that the target store exerted only very weak competition on other hypermarket-type stores in the area prior to the operation and that, for this reason, the operation would not lead to any change in the incentives for E. Leclerc and Carrefour to implement a tacit collusion strategy.</w:t>
      </w:r>
    </w:p>
    <w:p>
      <w:r>
        <w:t>213. However, the Authority considers that the mere presence of a store of 8,210 m² constitutes a competitive constraint in itself that allows for contesting a tacit coordination strategy between the brands Carrefour and E. Leclerc. Such a strategy would indeed lead to a price increase within the aforementioned two brands and would de facto make the Géant Casino store more competitive. This is all the more true as outlined above in the counterfactual scenario, where the Géant Casino store would exert more effective competitive pressure in the future than before the notified operation.</w:t>
      </w:r>
    </w:p>
    <w:p>
      <w:r>
        <w:t>214. The establishment of such a strategy would also have the effect of encouraging hypermarket brands not present in the Troyes agglomeration to acquire the target store. Indeed, it would be easier for a third-party brand to establish itself in a saturated area where prices would be artificially high than in a saturated area where competition would be effective.</w:t>
      </w:r>
    </w:p>
    <w:p>
      <w:r>
        <w:t>215. In this regard, the potential competitive capacity exerted on the area by the target store is currently able to contest the Carrefour – E. Leclerc duopoly.</w:t>
      </w:r>
    </w:p>
    <w:p>
      <w:r>
        <w:t>216. The operation is therefore likely to reduce competition in this market as it has the effect of eradicating the contesting power exerted by the target store.</w:t>
      </w:r>
    </w:p>
    <w:p>
      <w:r>
        <w:t>Regarding potentially present competitors in the hypermarket market</w:t>
      </w:r>
    </w:p>
    <w:p>
      <w:r>
        <w:t>217. The Authority has highlighted the presence of strong barriers to entry in the Troyes agglomeration, making the arrival of a new entrant in the hypermarket market very unlikely, whether through the construction of a new store or by increasing the size of an existing store.</w:t>
      </w:r>
    </w:p>
    <w:p>
      <w:r>
        <w:t>218. The notifying parties particularly believe that the Lidl brand would be perfectly capable of effectively contesting any coordination strategy. However, the local analysis indicates that the mere fact that Lidl practices low prices does not allow for the conclusion that this brand effectively competes with the hypermarkets in the Troyes area, as the survey conducted among consumers of the E. Leclerc hypermarket reveals that less than 5% of consumers would switch to these stores in the event of a 10% price increase in their usual store.</w:t>
      </w:r>
    </w:p>
    <w:p>
      <w:r>
        <w:t>219. Similarly, it has been demonstrated that the ITM stores in the area, even if they had a sales area exceeding 2,500 m², did not have a sufficient offering or area to compete with the four hypermarket-type stores in the area. Furthermore, the manager of the ITM store in Saint-Julien-les-Villas stated in the session that his store had reached saturation and could therefore not absorb additional demand from hypermarkets. Thus, even if this store had a hypermarket-type offering, it would not be able to contest the oligopoly formed by the Carrefour and E. Leclerc brands.</w:t>
      </w:r>
    </w:p>
    <w:p>
      <w:r>
        <w:t>220. It follows from these elements that no brand currently present or potential entrant in the area could contest a coordinated behavior of the duopoly formed by the Carrefour and E. Leclerc brands. The three conditions allowing for the establishment of coordinated effects are therefore met due to the realization of the operation.</w:t>
      </w:r>
    </w:p>
    <w:p>
      <w:r>
        <w:t>221. In this regard, it is important to recall that the low-price policy of ACDLec, according to which every member must have a comprehensive OPUS index of 97 or lower, is not, as noted above, likely to prevent price increases and thus to prevent the establishment of coordinated effects.</w:t>
      </w:r>
    </w:p>
    <w:p>
      <w:r>
        <w:t>C. CONCLUSION OF THE COMPETITIVE ANALYSIS</w:t>
      </w:r>
    </w:p>
    <w:p>
      <w:r>
        <w:t>222. Regarding unilateral effects, there is a risk of price increases at the Géant Casino store compared to the counterfactual situation: if the operation leads to a decrease in purchasing costs at the store level, such a decrease would also occur in the absence of the operation, without leading to a reduction in the number of hypermarket brands present in the market. There is also a risk of price increases at the E. Leclerc store, as the greater attractiveness of the Géant Casino store operating under the E. Leclerc brand increases competitive proximity and symmetry between these two stores.</w:t>
      </w:r>
    </w:p>
    <w:p>
      <w:r>
        <w:t>223. Regarding coordinated effects, the operation concerns a transparent market where actors can easily be aware of their competitors' behavior. It will also lead to a balanced duopoly and a geographical configuration allowing each actor to be able to exercise retaliation in the event of deviant behavior from their competitor. Finally, following the operation, there will be no potential or current competitor capable of contesting coordinated behavior of the Carrefour and E. Leclerc brands.</w:t>
      </w:r>
    </w:p>
    <w:p>
      <w:r>
        <w:t>224. Therefore, they may find it more profitable to coordinate their behaviors rather than continue to maintain competitive balance in the hypermarket market of the Troyes agglomeration.</w:t>
      </w:r>
    </w:p>
    <w:p>
      <w:r>
        <w:t>IV. Contribution to Economic Progress</w:t>
      </w:r>
    </w:p>
    <w:p>
      <w:r>
        <w:t>225. Pursuant to the provisions of Article L. 430-6 of the Commercial Code, when the Competition Authority conducts a thorough examination of a concentration operation, it "assesses whether the operation provides a sufficient contribution to economic progress to compensate for the harm to competition."</w:t>
      </w:r>
    </w:p>
    <w:p>
      <w:r>
        <w:t>226. Both the Council of State and competition authorities have identified assessment criteria applicable to the consideration of economic efficiency gains. Thus, the alleged efficiency gains must be quantifiable and verifiable, specific to the concentration, and a portion of the gains must be transferred to consumers, which excludes gains benefiting only the parties to the operation. Furthermore, it is the responsibility of the parties wishing to assert efficiency gains to construct a substantiated and quantified argument demonstrating that the economic efficiency gains of the operation are likely to offset its anti-competitive effects, and to provide all useful evidence to support this demonstration. This implies that the efficiency gains invoked by the parties must be presented with sufficient detail and specificity to verify their existence.</w:t>
      </w:r>
    </w:p>
    <w:p>
      <w:r>
        <w:t>227. In this case, the notifying parties indicate that the efficiency gains realized as a result of the operation will lead to a decrease in costs, and therefore potentially, a decrease in prices within the target store post-operation.</w:t>
      </w:r>
    </w:p>
    <w:p>
      <w:r>
        <w:t>228. However, it follows from the above developments that while purchasing costs may decrease in the target store, this decrease in costs is not necessarily specific to the operation, since in the absence of it, either the store would have to lower its prices to regain its competitiveness, or it would be sold to another buyer capable of lowering its prices. Moreover, the E. Leclerc hypermarket in Saint-Parres-aux-Tertres will not achieve any efficiency gains, and the parties' analysis, as highlighted above, does not take into account the possible price increase in this E. Leclerc hypermarket.</w:t>
      </w:r>
    </w:p>
    <w:p>
      <w:r>
        <w:t>229. Furthermore, the criteria allowing for tacit coordination of behaviors between the Carrefour and E. Leclerc hypermarkets post-operation are met. Thus, the probability and extent of passing on efficiency gains to consumers are uncertain, given the post-operation competitive situation.</w:t>
      </w:r>
    </w:p>
    <w:p>
      <w:r>
        <w:t>230. Finally, the low-price policy of the E. Leclerc brand is not likely to remedy the identified risks of price increases. An E. Leclerc store that is not subject to sufficient competitive pressure could therefore present an OPUS index of 97 while raising price levels for consumers on the most expensive or best-selling products.</w:t>
      </w:r>
    </w:p>
    <w:p>
      <w:r>
        <w:t>231. Given all the preceding elements, the Competition Authority considers that the notifying parties have not demonstrated that the notified operation is likely to generate efficiency gains capable of offsetting the effects of the operation.</w:t>
      </w:r>
    </w:p>
    <w:p>
      <w:r>
        <w:rPr>
          <w:b/>
        </w:rPr>
        <w:t>[Pages 46–48]</w:t>
      </w:r>
    </w:p>
    <w:p>
      <w:r>
        <w:t xml:space="preserve">V. Commitments  </w:t>
        <w:br/>
        <w:t xml:space="preserve">A. THE PROPOSED COMMITMENTS  </w:t>
        <w:br/>
        <w:t xml:space="preserve">232. In order to address the competitive risks identified above, the notifying parties submitted, on August 4, 2020, a proposal for commitments.  </w:t>
        <w:br/>
        <w:t xml:space="preserve">233. The parties commit, following the operation, to reduce the surface area of the target store from 8,210 m² to 6,000 m². This commitment would be made by the company Soditroy within 15 days following the Authority's decision, with implementation within 6 months, without the duration of this commitment being specified by the notifying parties.  </w:t>
        <w:br/>
        <w:t xml:space="preserve">B. ASSESSMENT OF THE PROPOSED COMMITMENTS  </w:t>
        <w:br/>
        <w:t xml:space="preserve">1. ON THE OBJECTIVES OF THE REMEDIES  </w:t>
        <w:br/>
        <w:t xml:space="preserve">234. The measures intended to remedy the competitive harm resulting from the notified operation must comply with the general criteria defined by the decision-making practice of competition authorities and the case law of the Council of State, in order to be deemed sufficient to ensure effective competition in the relevant markets, in accordance with the provisions of Article L. 430-7 of the Commercial Code.  </w:t>
        <w:br/>
        <w:t xml:space="preserve">235. These measures must be effective in remedying the identified competitive harm. To this end, their implementation must not raise any doubts, which implies that they should be drafted in a sufficiently clear and precise manner and that the operational modalities for their realization should be sufficiently detailed. Their implementation must also be swift, as competition is not preserved as long as they are not realized. They must also be controllable. Finally, the Authority must ensure that the corrective measures are neutral, in the sense that they must aim to protect competition as such and not specific competitors.  </w:t>
        <w:br/>
        <w:t>236. The Authority primarily seeks structural corrective measures, which aim to ensure competitive market structures through divestitures of activities or certain assets, unless behavioral remedies prove equally effective in compensating for the competitive harm. Paragraph 416 of the Authority's guidelines specifies in this regard that “[t]he choice of the most appropriate type of corrective measure nevertheless depends on the effects of the operation. When the operation harms competition primarily due to the horizontal overlap of activities between the parties, divestitures of assets are the most effective corrective measures. Conversely, when it is necessary to remedy risks of market locking upstream or downstream, behavioral measures aimed at ensuring competitors' access to inputs or customers may prove sufficient, while preserving the efficiency gains associated with vertical integration. The same applies to conglomerate concentrations.”</w:t>
      </w:r>
    </w:p>
    <w:p>
      <w:r>
        <w:t xml:space="preserve">2. ON THE ADEQUACY OF THE PROPOSED MEASURES  </w:t>
        <w:br/>
        <w:t xml:space="preserve">237. In this case, the proposal for commitments from the parties consists of reducing the surface area of the target store in order to mitigate the market share in surface area that the new entity will hold following the operation.  </w:t>
        <w:br/>
        <w:t xml:space="preserve">238. However, the risks of harm to competition arise from the creation of a duopoly between the Carrefour and E. Leclerc brands. This change in the structure of the area makes these two brands much more likely to coordinate their behaviors due to the disappearance of the competition exerted by the third point of sale. The proposed reduction of the surface area from 8,210 m² to 6,000 m² does not address the identified risk as this point of sale will retain a hypermarket format.  </w:t>
        <w:br/>
        <w:t xml:space="preserve">239. Furthermore, the market shares of the Carrefour and E. Leclerc hypermarkets post-operation will remain balanced in this new configuration and significant for the notifying parties ([40-50]% for E. Leclerc in surface area).  </w:t>
        <w:br/>
        <w:t xml:space="preserve">240. Thus, the commitment proposed by the notifying parties does not adequately address the competitive risks identified during the investigation. Generally, a commitment to reduce production (in this case, the available sales areas) risks inducing anticompetitive effects by decreasing the quantities offered, which can lead to a price increase, and by reducing the choice available to consumers. The scarcity of supply in the market, in the presence of entry barriers as is the case here, would further increase the profit and market power of the existing operators.  </w:t>
        <w:br/>
        <w:t>241. Consequently, the remedy proposed by the notifying parties is not adequate to address the identified risks.</w:t>
      </w:r>
    </w:p>
    <w:p>
      <w:r>
        <w:t xml:space="preserve">VI. On the Consequences of the Insufficiency of the Proposed Commitments  </w:t>
        <w:br/>
        <w:t xml:space="preserve">A. THE APPLICABLE PROVISIONS AND PRINCIPLES  </w:t>
        <w:br/>
        <w:t xml:space="preserve">242. Article L. 430-6 of the Commercial Code states that, within the framework of the in-depth examination of a concentration operation, the Authority examines whether the operation “is likely to harm competition, notably by creating or strengthening a dominant position or by creating or strengthening a purchasing power that places suppliers in a situation of economic dependence. It assesses whether the operation provides a sufficient contribution to economic progress to compensate for the harm to competition.”  </w:t>
        <w:br/>
        <w:t xml:space="preserve">243. It follows from III and IV of Article L. 430-7 of the same code that the Authority may prohibit the concentration operation, or authorize it, either by issuing injunctions to the parties to ensure sufficient competition, or by imposing mandatory prescriptions intended to provide a sufficient contribution to economic progress, or by subordinating the operation, if necessary, to the realization of commitments made by the parties.  </w:t>
        <w:br/>
        <w:t xml:space="preserve">244. Likewise, it follows from the case law of the Council of State that it is the Authority's responsibility to exercise its powers of prohibition, injunction, prescription, or subordination of its authorization to the realization of commitments “in proportion to what is required to maintain sufficient competition in the markets affected by the operation.”  </w:t>
        <w:br/>
        <w:t xml:space="preserve">245. Ruling on the legality of a decision by which the ministers of economy and agriculture prohibited a concentration operation, the Council of State held that “given the nature and importance of the anticompetitive effects of the concentration project and the correlating difficulty of determining adequate measures to compensate for them, the decision made by the ministers to oppose the proposed operation cannot be regarded as having excessively harmed the freedom of trade and industry.”  </w:t>
        <w:br/>
        <w:t xml:space="preserve">246. Thus, it is up to the Authority to consider both the significance of the anticompetitive effects of the operation and the possibility of remedying them through adequate measures. Consequently, if the commitments potentially proposed by the notifying party do not provide an appropriate response to the anticompetitive effects of the operation, the Authority examines whether the operation can be authorized by issuing injunctions or prescriptions to the notifying party. The injunctions must thus allow for effective remedies to the anticompetitive effects of the operation, and, furthermore, must be necessary and proportionate. This means that the objective pursued must not be achievable with less burdensome remedies and that the prescribed measures must not impose excessive obligations on the notifying party in relation to the intended goal.  </w:t>
        <w:br/>
        <w:t>247. If the Authority cannot identify suitable remedies, it is then incumbent upon it to prohibit the operation, as long as it does not provide a sufficient contribution to economic progress to compensate for the harm to competition.</w:t>
      </w:r>
    </w:p>
    <w:p>
      <w:r>
        <w:rPr>
          <w:b/>
        </w:rPr>
        <w:t>[Pages 49–51]</w:t>
      </w:r>
    </w:p>
    <w:p>
      <w:r>
        <w:t xml:space="preserve">B. APPLICATION TO THE SPECIFIC CASE  </w:t>
        <w:br/>
        <w:t xml:space="preserve">248. In this case, it has been demonstrated that the commitments proposed by the notifying parties do not effectively remedy the anti-competitive effects of the operation.  </w:t>
        <w:br/>
        <w:t xml:space="preserve">249. Furthermore, no appropriate corrective measure can be envisaged in this case in the form of an injunction. Indeed, the injunctions issued by the Competition Authority strictly aim to maintain sufficient competition in the markets where the operation is likely to lead to significant effects, in this case coordinated effects.  </w:t>
        <w:br/>
        <w:t xml:space="preserve">250. Now, the operation involves two hypermarket stores, that of the target and that of the notifying parties. The divestiture of the target would amount to prohibiting the operation, as would that of the E. Leclerc hypermarket in Saint-Parres-aux-Tertres. Thus, a structural corrective measure does not appear proportionate in this case as it would not allow for "the maintenance of the economic interest of the operation for the parties," a criterion that the Authority monitors.  </w:t>
        <w:br/>
        <w:t xml:space="preserve">251. Finally, as previously stated, the operation is not likely to generate efficiency gains that would offset the anti-competitive effects of the project. Consequently, no prescription capable of providing a sufficient contribution to economic progress to compensate for the harm to competition can be identified in this case.  </w:t>
        <w:br/>
        <w:t>252. It follows from the above that, in the absence of appropriate remedies, the concentration operation must be subject to a prohibition.</w:t>
      </w:r>
    </w:p>
    <w:p>
      <w:r>
        <w:t xml:space="preserve">DECIDES  </w:t>
        <w:br/>
        <w:t xml:space="preserve">Single Article: The operation notified under number 19-182 is prohibited.  </w:t>
        <w:br/>
        <w:t xml:space="preserve">Deliberated on the oral report of Ms. Marion Pourquier, Mr. François Six, Mr. Sven-Olof Fridolfsson, Ms. Anne-Sophie Delhaise, rapporteurs, and the intervention of Mr. Étienne Chantrel, deputy general rapporteur, by Mr. Henri Piffaut, vice-president, president of the session, Mr. Emmanuel Combe, vice-president, and Mr. Christophe Strassel, member.  </w:t>
        <w:br/>
        <w:t xml:space="preserve">For the secretary of the session, The vice-president,  </w:t>
        <w:br/>
        <w:t>Thierry Poncelet Henri Piffaut</w:t>
      </w:r>
    </w:p>
    <w:p>
      <w:r>
        <w:t xml:space="preserve">Annex  </w:t>
        <w:br/>
        <w:t xml:space="preserve">Analysis by the Authority of the arguments presented by the notifying parties regarding the diversion ratio of the current E. Leclerc hypermarket after the repositioning of the Géant Casino hypermarket to E. Leclerc hypermarket  </w:t>
        <w:br/>
        <w:t xml:space="preserve">1. This annex presents an analysis by the Authority of the arguments of the notifying parties regarding the calculation retained by the Authority of the diversion ratio of the current E. Leclerc hypermarket after the repositioning of the Géant Casino hypermarket to E. Leclerc hypermarket. As indicated in the decision (paragraph 175), this calculation is based on a combination of survey data and travel times from the respondents' place of residence to the various relevant alternative stores (current E. Leclerc hypermarket, new E. Leclerc hypermarket, chosen diversion store in the survey).  </w:t>
        <w:br/>
        <w:t xml:space="preserve">2. This annex first recalls the arguments of the notifying parties, then presents the Authority's analysis of these arguments (paragraph 176 and following).  </w:t>
        <w:br/>
        <w:t xml:space="preserve">The reservations of the notifying parties regarding the diversion ratios and GUPPI indices taking into account the transformation of the Géant Casino store into an E. Leclerc store  </w:t>
        <w:br/>
        <w:t xml:space="preserve">3. The notifying parties put forward three arguments to challenge the Authority's calculation of the diversion ratio from the current E. Leclerc hypermarket to the new E. Leclerc hypermarket.  </w:t>
        <w:br/>
        <w:t xml:space="preserve">4. Firstly, they emphasize the unprecedented nature in decision-making practice of such a calculation of incentives for price increases, the GUPPI index thus calculated being based on a diversion ratio that would be observed after the change of brand from the Géant Casino store to E. Leclerc.  </w:t>
        <w:br/>
        <w:t xml:space="preserve">5. Secondly, they argue that this calculation of diversion ratios is based on the assumption that distance is the only or main determinant of store choice, whereas the survey would show that consumers do not necessarily go to the store closest to their home.  </w:t>
        <w:br/>
        <w:t>6. Thirdly, they point out the imprecision of the location data used to calculate a new diversion ratio from the responses of respondents in the current E. Leclerc hypermarket: indeed, only the postal code and the municipality of residence of the respondents are known, the travel time between the respondents' place of residence and the various studied stores is not known precisely, and only the travel time between a hypothetical place of residence (for example, the center of the municipality of residence) and the studied stores can be calculated. Thus, when the travel time between the hypothetical place of residence and two stores differs by only a few minutes, it would, according to the notifying parties, be impossible to identify the store closest to the actual place of residence of the respondent. In this regard, the notifying parties take as an example a respondent for whom the travel times to the stores calculated with Google Maps rather than with the "Here!" API used by the Authority lead to discrepancies of several minutes. This imprecision</w:t>
      </w:r>
    </w:p>
    <w:p>
      <w:r>
        <w:rPr>
          <w:b/>
        </w:rPr>
        <w:t>[Pages 52–54]</w:t>
      </w:r>
    </w:p>
    <w:p>
      <w:r>
        <w:t>insofar as the travel times between the respondent's place of residence and the various relevant alternative stores (namely the current E. Leclerc hypermarket, the Géant Casino hypermarket/new E. Leclerc hypermarket, and the alternative store mentioned by the respondent in the survey) would not be without consequence on the results, since the elimination of respondents for whom the differences in travel times between the hypothetical place of residence of the respondent and the various stores studied are less than three or five minutes would lead to diversion ratios of [5-10]% and [0-5]%, which are much lower ratios than that calculated by the Authority, and to GUPPI indices below 5%.</w:t>
      </w:r>
    </w:p>
    <w:p>
      <w:r>
        <w:t>The Authority's Analysis</w:t>
        <w:br/>
        <w:t>• On the scope of the GUPPI indices calculated from the diversion ratios from the current E. Leclerc hypermarket to the new E. Leclerc hypermarket</w:t>
        <w:br/>
        <w:t>7. Firstly, regarding the relevance of the calculated GUPPI indices, the notifying parties do not provide any argument that would call it into question. It should also be noted that one of the frequently highlighted limitations of GUPPI indices is that they only present a "static" analysis of the effects of the operation, not taking into account possible changes post-operation. In the specific case, the Authority's analysis aims precisely to integrate the change of brand of the target, which will also lead to a modification of the diversion ratios compared to the situation prior to the operation.</w:t>
      </w:r>
    </w:p>
    <w:p>
      <w:r>
        <w:t>8. However, the Authority notes that an analysis of unilateral effects through such indices has the disadvantage of not taking into account the reactions of other stores in the area, both hypermarkets and supermarkets, in response to the increased attractiveness of the former Géant Casino hypermarket/new E. Leclerc hypermarket, an increased attractiveness that does not specifically result from the operation. In the face of this greater attractiveness of their competitor, these stores might also choose to adjust their commercial policy, and the clientele of the stores is then likely to change, just as the relative preferences of consumers between different stores.</w:t>
      </w:r>
    </w:p>
    <w:p>
      <w:r>
        <w:t>9. Nevertheless, the analysis of the diversion ratios and GUPPI indicators after the change of brand retained by the Authority incorporates some of these changes in clientele by reallocating customers between the current E. Leclerc hypermarket and the new E. Leclerc hypermarket. It must also be understood in conjunction with other elements suggesting that the diversion ratio between the current E. Leclerc hypermarket and the Géant Casino hypermarket will significantly increase after the change of brand, due both to the similarity of these two stores once the change of brand is made and to the attractiveness of the E. Leclerc brand, as evidenced by the choices of alternative stores made by respondents in the Géant Casino hypermarket and the forecasts of increased turnover for this store once the change of brand is made. In this regard, the reprocessing of survey data to take into account the change of brand of the Géant Casino hypermarket can complement the body of evidence already established.</w:t>
      </w:r>
    </w:p>
    <w:p>
      <w:r>
        <w:t>• On the role attributed to distance in the calculation of diversion ratios from the current E. Leclerc hypermarket to the new E. Leclerc hypermarket</w:t>
        <w:br/>
        <w:t>10. Secondly, regarding the underlying assumption of these calculations, according to which the choice of stores by the respondents to the survey would be solely dictated by distance, it should be noted that only consumers of the current E. Leclerc hypermarket are studied in the Authority's analysis contested by the notifying parties. The interested parties have therefore already chosen a brand in which to make their purchases, and the analysis is conditioned on this choice of brand.</w:t>
      </w:r>
    </w:p>
    <w:p>
      <w:r>
        <w:t>11. Thus, contrary to what the notifying parties assert, the choices of respondents are not based solely on distance. More specifically, the assumption made to allocate respondents between the current E. Leclerc store and the new E. Leclerc store, which assumes that respondents would prefer the new E. Leclerc to the old E. Leclerc, which is a store of very similar format, of the same brand, and managed by the same company, if they are closer to it, does not seem exaggerated since distance indeed appears to be one of the only parameters capable of differentiating the offer of these two large stores for consumers. This assumption does not therefore make distance the only criterion for choice since the consumers studied preferred the format and brand E. Leclerc over any other and since their contemplated switch, if they are closer, is to another very similar E. Leclerc store to the store where they currently do their shopping.</w:t>
      </w:r>
    </w:p>
    <w:p>
      <w:r>
        <w:t>12. Similarly, the assumption made to identify switches to the new E. Leclerc store in the event of a price increase at the current E. Leclerc store consists of assuming that consumers of the current E. Leclerc store who would choose to leave this store in the event of a price increase would prefer the new E. Leclerc store if it is closer to the alternative store they chose in the survey. Again, this does not make distance the sole or primary determinant of consumer choice.</w:t>
      </w:r>
    </w:p>
    <w:p>
      <w:r>
        <w:t>13. This assumption also appears to be conservative for two reasons. On the one hand, some consumers who are farther from the new E. Leclerc store than from the identified alternative store in the survey might still choose to go to the new E. Leclerc store because it is a brand they preferred over its competitors even though, as the notifying parties assert, distance is not the main criterion for store choice. On the other hand, some consumers who would choose to stay in the E. Leclerc store in the event of a price increase when no other Leclerc store was nearby might now leave it to go to the new E. Leclerc store, thus leading to an increase in the calculated diversion ratios.</w:t>
      </w:r>
    </w:p>
    <w:p>
      <w:r>
        <w:t>• On the imprecision of the distance measures used and the reliability of the diversion ratios calculated by the Authority and the notifying parties</w:t>
        <w:br/>
        <w:t>14. Thirdly, regarding the imprecision of the distance measures used, the notifying parties rightly point out that since the address of the respondents to the survey is not known, the measures of the distances between the respondents to the survey and the various stores may present a margin of error. The notifying parties then propose to remove from the sample the respondents for whom the differences in travel times between the current E. Leclerc hypermarket and the new E. Leclerc hypermarket or between the latter and the alternative store they identified in the survey are less than three or five minutes. The elimination of these respondents leads to diversion ratios of [5-10]% and [0-5]%, respectively, and to GUPPI indices then below the threshold of 5%. However, the Authority considers that i) the three to five-minute filters retained are highly questionable and poorly justified, ii) the choice to exclude from the sample the respondents for whom the differences in travel times between alternative stores are less than three or five minutes also presents several limitations, and finally, iii) the diversion ratio from the current E. Leclerc hypermarket to the new E. Leclerc hypermarket, calculated based on the market share in surface area or turnover of the latter, is similar to or higher than that calculated via the survey and distance data; the use of this alternative ratio to complement the responses of respondents whose location is too imprecise confirms that the diversion ratio after the change of brand will be sufficiently high for there to be a risk of price increase.</w:t>
      </w:r>
    </w:p>
    <w:p>
      <w:r>
        <w:t>15. Before detailing these various limitations of the notifying parties' analysis, as several alternative estimates of the diversion ratio are proposed below, it is useful to calculate the "critical" diversion ratio leading to a multi-product GUPPI index from the current E. Leclerc hypermarket exceeding 5%. This critical diversion ratio (corresponding to the switches of purchases of daily products to the new E. Leclerc hypermarket in the event of a 10% price increase of daily products at the current E. Leclerc hypermarket) depends not only on the margin level of the new E. Leclerc store but also on the value taken by the "cross" diversion ratio (corresponding to the switches of purchases of non-daily products to the new E. Leclerc store).</w:t>
      </w:r>
    </w:p>
    <w:p>
      <w:r>
        <w:t>16. Thus, assuming that the new E. Leclerc store will achieve the same margins on daily products and non-daily products as the current E. Leclerc store, the critical diversion ratio is [10-20]% when it is assumed that the cross diversion ratio is [0-5]%, which is the lowest estimate of the notifying parties for this cross diversion ratio. However, such an estimate of the critical diversion ratio may appear to be very conservative since it does not take into account the change of brand of the Géant Casino store to E. Leclerc store. Thus, conversely, if it is assumed that the cross diversion ratio is identical to that of daily products (since the Géant Casino hypermarket transformed into an E. Leclerc hypermarket could capture as significant a share of purchases of non-daily products as of daily products), the critical diversion ratio is [5-10]%.</w:t>
      </w:r>
    </w:p>
    <w:p>
      <w:r>
        <w:rPr>
          <w:b/>
        </w:rPr>
        <w:t>[Pages 55–57]</w:t>
      </w:r>
    </w:p>
    <w:p>
      <w:r>
        <w:t>The filters of three to five minutes retained by the notifying parties are not justified and are highly questionable</w:t>
      </w:r>
    </w:p>
    <w:p>
      <w:r>
        <w:t>17. The results presented by the notifying parties, according to which the elimination of respondents for whom the differences in travel times between the various relevant stores are less than 3 or 5 minutes leads to diversion ratios of [5-10]% and [0-5]%, respectively, are very sensitive to the margin of error posited by the notifying parties (i.e., three or five minutes). For example, if only those respondents for whom the travel times to the various alternative stores differ by only 1 to 2 minutes are removed from the sample, the diversion ratios obtained are [30-40]% and [20-30]%, which are levels close to or higher than that retained by the Authority ([20-30]%). However, the parties do not actually justify why the magnitude of the measurement error would be three or even five minutes. The only justification proposed is an example in which the travel times from a hypothetical residence to the Carrefour hypermarket and to the Géant Casino hypermarket vary, respectively, by six minutes and 2.1 minutes according to the distance measurement application used. However, the example presented by the notifying parties is hardly relevant since the travel time to the Carrefour hypermarket is estimated at 22:49 (at a time when traffic jams are limited but when hypermarkets are closed) and that to the Géant Casino at 17:36 (at a time when traffic jams are likely to be more numerous). The distances measured by the notifying parties are therefore neither comparable to each other nor comparable to those measured by the Authority, except for the Géant Casino for which the difference between the travel time measured by the Authority and that measured by the notifying parties is 2.1 minutes.</w:t>
      </w:r>
    </w:p>
    <w:p>
      <w:r>
        <w:t>18. On the other hand, the risk of measurement error in travel times is potentially greater for respondents from the city of Troyes, the largest municipality in the area by surface area, than for other respondents. However, the respondents from this city retained in the second stage of the Authority's analysis are few in number and are closer to the Géant Casino hypermarket than to their chosen store, and the diversion ratio calculated for these respondents is therefore low ([0-5]%). As a result, excluding these respondents from the analysis, considering that for these residents the risk of error is indeed high, would lead to an increase in the calculated diversion ratio.</w:t>
      </w:r>
    </w:p>
    <w:p>
      <w:r>
        <w:t>19. Finally, it could also be considered that respondents who indicated in the survey a chosen store closer by less than three to five minutes from their municipality of residence than the E. Leclerc store (and whom the notifying parties propose to exclude from the sample) could nonetheless, at least for some of them, prefer the E. Leclerc store, whose characteristics are similar to their original store. Thus, by only retaining the correction proposed by the notifying parties for the first stage of the Authority's calculation (and not applying any filter during the second stage on the grounds that any potential measurement errors are compensated by the conservative nature of the allocation of customers between the new E. Leclerc store and the chosen store during the survey), the diversion ratios are again close to those presented in the session, namely [20-30]% if a three-minute threshold is applied and [20-30]% if a five-minute threshold is applied.</w:t>
      </w:r>
    </w:p>
    <w:p>
      <w:r>
        <w:t>20. Ultimately, while the calculated diversion ratios are very sensitive to the assumed magnitude of the measurement error, i) no convincing justification is provided for the three and five-minute filters used, ii) the average diversion ratio of respondents from the city of Troyes, for whom the measurement error of distances from home to the store could indeed be significant (which, according to the methodology presented by the notifying parties, would justify their exclusion from the sample) is very low, such that their exclusion would lead to an increase in the diversion ratio, iii) respondents for whom the new E. Leclerc hypermarket would have been incorrectly identified as being closer by less than three or five minutes from the respondent's home than the chosen store could, in reality, still choose to go to the new E. Leclerc hypermarket, given that it is a store very similar to the current E. Leclerc hypermarket, leading to a diversion ratio close to that retained by the Authority.</w:t>
      </w:r>
    </w:p>
    <w:p>
      <w:r>
        <w:t>The exclusion of respondents for whom the differences in distance between their home and the various competing stores are uncertain also presents significant limitations</w:t>
      </w:r>
    </w:p>
    <w:p>
      <w:r>
        <w:t>21. Assuming the three and five-minute filters proposed by the notifying parties are justified, the method proposed by them to remedy the relative imprecision of distance measurements, i.e., the exclusion of respondents for whom the distances between their hypothetical place of residence and the various studied stores are too similar to identify the closest store, presents several significant limitations.</w:t>
      </w:r>
    </w:p>
    <w:p>
      <w:r>
        <w:t>22. Firstly, eliminating all respondents for whom the difference in travel time between the various relevant alternative stores is less than three or five minutes leads to the removal from the survey of a very high number of observations (the samples used by the notifying parties are 64 respondents with the three-minute filter and 37 respondents with the five-minute filter, compared to a sample of 210 respondents in the Authority's estimation of the diversion ratio). The probative force of the results obtained with such small sample sizes is naturally limited.</w:t>
      </w:r>
    </w:p>
    <w:p>
      <w:r>
        <w:t>23. Secondly, by applying the proposed filter in the first stage of the calculation of the diversion ratio after the change of brand, only respondents relatively close to the current E. Leclerc store and far from the new E. Leclerc store are likely to be retained in the sample. Conversely, respondents far from the current E. Leclerc store and close to the new E. Leclerc hypermarket will be few in number visiting the current E. Leclerc store and therefore proportionally underrepresented in the sample. It is then likely that among the respondents retained in the sample are primarily those who will be relatively far from the new E. Leclerc hypermarket and who will have a closer chosen store than the latter.</w:t>
      </w:r>
    </w:p>
    <w:p>
      <w:r>
        <w:t>24. Furthermore, when applying the filter proposed by the notifying parties for this first stage, it is implicitly assumed that all respondents for whom the difference between the travel times from their (hypothetical) home to the two E. Leclerc hypermarkets (the current and the new) is less than three or five minutes actually choose to do their shopping at the new E. Leclerc hypermarket. But such an assumption does not seem more justified than the opposite assumption, which considers that all respondents for whom the difference between the travel times from their (hypothetical) home to the two E. Leclerc hypermarkets (the current and the new) is less than three or five minutes remain at the current E. Leclerc hypermarket. In this case, the corresponding diversion ratios are [20-30]% with the three-minute filter and [20-30]% with the five-minute filter, which are significantly higher levels than those obtained by the notifying parties.</w:t>
      </w:r>
    </w:p>
    <w:p>
      <w:r>
        <w:t>25. Thirdly, the application of the filter proposed by the notifying parties at the second stage of the Authority's reasoning is also likely to lead to an underestimation of the diversion ratio. Indeed, measurement errors regarding the actual distance between the new E. Leclerc store and its chosen store indicated in the survey should, in principle, play in both directions: for some respondents, it would thus be incorrectly calculated that the chosen store is farther away than the new E. Leclerc store, in which case the diversion ratio is overestimated, while for others, it will be incorrectly calculated that the chosen store is closer than the new E. Leclerc store, in which case the diversion ratio is underestimated.</w:t>
      </w:r>
    </w:p>
    <w:p>
      <w:r>
        <w:t>26. However, even when these errors offset each other, the application of the filter proposed by the notifying parties decreases the calculated diversion ratio when the initially observed diversion ratio is less than 50%, which is indeed the case here. In other words, the filter proposed by the notifying parties mechanically leads to a decrease in the observed diversion ratio, even when the measurement errors of distance offset each other and no bias results from inaccuracies regarding the identity of the closest store.</w:t>
      </w:r>
    </w:p>
    <w:p>
      <w:r>
        <w:t>Alternative calculation methods yield diversion ratios similar to or higher than those derived from survey and distance data</w:t>
      </w:r>
    </w:p>
    <w:p>
      <w:r>
        <w:t>27. Despite the relative imprecision of distance measurements, the diversion ratios estimated by the Authority are consistent with or lower than those resulting from simpler methods of approximating diversion ratios. As indicated above, assessing the diversion ratio concerning a store whose attractiveness is going to be modified is delicate because this change potentially affects all stores in the area. In the absence of a better estimate, a possible approximation of the diversion ratio of customers from the current E. Leclerc hypermarket to the new E. Leclerc hypermarket is the weight of this new E. Leclerc hypermarket among all hypermarkets (excluding the current E. Leclerc hypermarket). Thus, the greater the relative surface area (i.e., compared to competing Carrefour hypermarkets) of the new E. Leclerc hypermarket, the more it will be able to attract customers from the current E. Leclerc hypermarket in the event of a price increase implemented by the latter (especially since the two stores will be similar in terms of surface area, branding, listed products, etc.). In this case, an assessment of the diversion ratio based on relative market shares in surface area would amount to [30-40]%.</w:t>
      </w:r>
    </w:p>
    <w:p>
      <w:r>
        <w:rPr>
          <w:b/>
        </w:rPr>
        <w:t>[Pages 58–59]</w:t>
      </w:r>
    </w:p>
    <w:p>
      <w:r>
        <w:t>28. Similarly, an assessment of the diversion ratio from the current E. Leclerc hypermarket to the new E. Leclerc hypermarket based on market shares in revenue can be carried out from the revenue capture projections made for the notifying parties by a specialized firm: by retaining the low estimate of the revenue of the new E. Leclerc hypermarket and the shares of the additional revenue that would be captured from the two Carrefour hypermarkets in Saint-André-les-Vergers and La-Chapelle-Saint-Luc, the diversion ratio of consumers from the current E. Leclerc hypermarket to the new hypermarket, calculated from the new revenues of the hypermarkets, would amount to [20-30]%.</w:t>
      </w:r>
    </w:p>
    <w:p>
      <w:r>
        <w:t>29. These revenue capture projections and the resulting diversion ratio can also be used to avoid excluding from the sample of respondents those respondents for whom the differences in distance between alternative stores are assumed to be too small to be reliable by the notifying parties. The biases resulting from such exclusion of respondents are thus avoided (cf. above). Thus, considering for step 1 of the diversion ratio calculation, i) that the transfers from the current E. Leclerc hypermarket to the new E. Leclerc hypermarket should be [5-10]% of the revenue, ii) that this transfer will concern the survey respondents closest to the new E. Leclerc hypermarket, and then performing the second step of the calculation but assuming that the transfer to the new E. Leclerc hypermarket from respondents for whom the difference in travel time between the identified transfer store in the survey and the new E. Leclerc hypermarket is less than three or five minutes is [20-30]%, the diversion ratios obtained are [10-20]% for the three-minute filter and [20-30]% for the five-minute filter. These levels are above the diversion ratio resulting in a GUPPI of 5%, and there is therefore a risk that after the rebranding of the Géant Casino store, the current E. Leclerc hypermarket may choose to raise its prices.</w:t>
      </w:r>
    </w:p>
    <w:p>
      <w:r>
        <w:t>130 Study on the rebranding in Barberey-Saint-Sulpice, February 2019, conducted by the Parabellum Retail Agency, page 47. This firm indicates that it has conducted 300,000 location simulations.</w:t>
      </w:r>
    </w:p>
    <w:p>
      <w:r>
        <w:t>131 The revenue in 2018 of the Géant Casino hypermarket is [confidential] and the low estimate of the revenue of the new E. Leclerc hypermarket is, according to the revenue projections from the aforementioned study, [confidential] million euros. Thus, [confidential] (=[confidential] – [confidential]) million euros would be generated by the rebranding. Furthermore, according to these same revenue projections, [20-30]% (respectively [10-20]%) of this additional revenue would be captured from the Carrefour hypermarket in Saint-André-les-Vergers (respectively from La-Chapelle-Saint-Luc), that is, respectively, [confidential] (=[confidential]*[confidential]) and [confidential] (=[confidential]*[confidential]) million euros. The revenues of the Carrefour hypermarket in Saint-André-les-Vergers (respectively La-Chapelle-Saint-Luc) were [confidential] (respectively [confidential]) million euros in 2018. By subtracting from these current revenues of the Carrefour hypermarkets the revenue that will be captured from them by the new E. Leclerc hypermarket (i.e., [confidential] million euros) and adding the projected revenue of this hypermarket (i.e., [confidential] million euros), the total revenue of the hypermarkets (excluding the current E. Leclerc hypermarket) is obtained. The diversion ratio derived from the relative market shares in revenue can then be approximated by the revenue of the new E. Leclerc hypermarket, compared to the total revenue of the hypermarkets after the operation (excluding the current E. Leclerc hypermarket). The diversion ratio thus approximated is [20-30]%.</w:t>
      </w:r>
    </w:p>
    <w:p>
      <w:r>
        <w:t>132 According to the revenue projections from the aforementioned study, [30-40]% of the additional revenue of the new E. Leclerc hypermarket will be captured from the current E. Leclerc hypermarket, that is, [confidential]*[confidential]=[confidential] million euros, or [5-10]% of the revenue of the current E. Leclerc hypermarket. [confidential] or [5-10]% of the revenue considered by the aforementioned study ([confidential]). The results are only marginally altered if the ratio of [5-10]% is substituted for that of [5-10]%.</w:t>
      </w:r>
    </w:p>
    <w:p>
      <w:r>
        <w:t>133 The number of observations is 267. The 95% confidence interval is ([10-20]; [20-30])%.</w:t>
      </w:r>
    </w:p>
    <w:p>
      <w:r>
        <w:t>134 The number of observations is 267. The 95% confidence interval is ([10-20]; [20-30]%).</w:t>
      </w:r>
    </w:p>
    <w:p>
      <w:r>
        <w:t>• Conclusion</w:t>
        <w:br/>
        <w:t>30. The notifying parties have thus not demonstrated that the survey data combined with distance data are irrelevant for understanding the potential diversion ratio between the current E. Leclerc hypermarket and the new E. Leclerc store that will replace the current Géant Casino hypermarket or that the resulting outcomes lack robustness. In particular, on the one hand, the extent of the imprecision of the distance data is uncertain, and on the other hand, the correction proposed by the notifying parties leads to significant biases. Finally, alternative methods to address the imprecision of distance measurements, assuming that this significantly alters the results, confirm that the diversion ratio derived from the survey and distance data could be sufficiently high to pose a risk of price increases at the current E. Leclerc hypermarket.</w:t>
      </w:r>
    </w:p>
    <w:p>
      <w:r>
        <w:t>31. In any case, as indicated in the decision, this analysis of the survey data coupled with the distance data of respondents to the various stores only complements other indicators that already tend to indicate that the diversion ratio from the current E. Leclerc hypermarket to the new E. Leclerc hypermarket will significantly increase. These indicators include the expected strong increase in sales of the new E. Leclerc hypermarket, its competitive proximity to the current E. Leclerc hypermarket, and the attraction power of this brand, as evidenced by the high diversion ratios of consumers from the current Géant Casino hypermarket to the current E. Leclerc hypermarket. In light of these elements, which are not contradicted but supported by the analysis of the survey data, the Authority therefore considers it very likely that the diversion ratio from the current E. Leclerc hypermarket in Saint-Parres-aux-Tertres to the new E. Leclerc hypermarket in Barberey-Saint-Sulpice will be significantly higher than the diversion ratio from the current E. Leclerc hypermarket in Saint-Parres-aux-Tertres to the current Géant Casino hypermarket and sufficiently high to pose a risk of price increases at the current E. Leclerc hypermarket in Saint-Parres-aux-Tertres, it being noted that the notifying parties themselves have ruled out any efficiency gains in the E. Leclerc hypermarket in Saint-Parres-aux-Tertres.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