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https://www.autoritedelaconcurrence.fr/fr/decision-de-controle-des-concentrations/relative-la-prise-de-controle-conjoint-dun-fonds-de-26</w:t>
      </w:r>
    </w:p>
    <w:p>
      <w:r>
        <w:t>Pages translated : 2</w:t>
      </w:r>
    </w:p>
    <w:p/>
    <w:p>
      <w:r>
        <w:rPr>
          <w:b/>
        </w:rPr>
        <w:t>[Pages 1–2]</w:t>
      </w:r>
    </w:p>
    <w:p>
      <w:r>
        <w:t xml:space="preserve">REPUBLIC OF FRANCE  </w:t>
        <w:br/>
        <w:t xml:space="preserve">Decision No. 21-DCC-134 of July 30, 2021  </w:t>
        <w:br/>
        <w:t xml:space="preserve">regarding the joint control acquisition of a business by the companies ITM Entreprises and Vagmex  </w:t>
        <w:br/>
        <w:t xml:space="preserve">The Competition Authority,  </w:t>
        <w:br/>
        <w:t xml:space="preserve">Having regard to the complete notification file sent to the mergers department on July 12, 2021, concerning the joint control acquisition of a business by the companies ITM Entreprises and Vagmex, formalized by a unilateral promise to purchase the business dated June 23, 2021;  </w:t>
        <w:br/>
        <w:t xml:space="preserve">Having regard to Book IV of the Commercial Code relating to the freedom of prices and competition, and in particular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by the companies ITM Entreprises and Vagmex of a food-dominant business of the discount type operated under the Leader Price brand with a surface area of 852 m² located in Troyes (10).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21-151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