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https://www.autoritedelaconcurrence.fr/fr/decision-de-controle-des-concentrations/relative-la-prise-de-controle-conjoint-dun-fonds-de-28</w:t>
      </w:r>
    </w:p>
    <w:p>
      <w:r>
        <w:t>Pages translated : 2</w:t>
      </w:r>
    </w:p>
    <w:p/>
    <w:p>
      <w:r>
        <w:rPr>
          <w:b/>
        </w:rPr>
        <w:t>[Pages 1–2]</w:t>
      </w:r>
    </w:p>
    <w:p>
      <w:r>
        <w:t xml:space="preserve">FRENCH REPUBLIC  </w:t>
        <w:br/>
        <w:t xml:space="preserve">Decision No. 21-DCC-139 of August 5, 2021  </w:t>
        <w:br/>
        <w:t xml:space="preserve">regarding the joint control acquisition of a predominantly food retail business by the company Laondis alongside the Association of E. Leclerc Distributor Centers  </w:t>
        <w:br/>
        <w:t xml:space="preserve">The Competition Authority,  </w:t>
        <w:br/>
        <w:t xml:space="preserve">Having regard to the notification file sent to the mergers department on July 15, 2021, declared complete on August 2, 2021, concerning the joint control acquisition of a predominantly food retail business by the company Laondis alongside the Association of E. Leclerc Distributor Centers, formalized by a unilateral purchase promise dated July 5,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a predominantly food retail business operated under the Aldi brand with a surface area of 774 m² located in Marle (20), by the company Laondis alongside the Association of E. Leclerc Distributor Centers. It constitutes a concentration operation within the meaning of Article L. 430-1 of the Commercial Code. Given the turnover achieved by the concerned companies,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21-154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