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https://www.autoritedelaconcurrence.fr/fr/decision-de-controle-des-concentrations/relative-la-prise-de-controle-conjoint-dun-fonds-de-29</w:t>
      </w:r>
    </w:p>
    <w:p>
      <w:r>
        <w:t>Pages translated : 2</w:t>
      </w:r>
    </w:p>
    <w:p/>
    <w:p>
      <w:r>
        <w:rPr>
          <w:b/>
        </w:rPr>
        <w:t>[Pages 1–2]</w:t>
      </w:r>
    </w:p>
    <w:p>
      <w:r>
        <w:t xml:space="preserve">FRENCH REPUBLIC  </w:t>
        <w:br/>
        <w:t xml:space="preserve">Decision No. 21-DCC-141 of August 11, 2021  </w:t>
        <w:br/>
        <w:t xml:space="preserve">regarding the joint acquisition of control of a business by the companies ITM Entreprises and Ardilla  </w:t>
        <w:br/>
        <w:t xml:space="preserve">The Competition Authority,  </w:t>
        <w:br/>
        <w:t xml:space="preserve">Having regard to the notification file sent to the mergers department on July 26, 2021, and declared complete on August 6, 2021, concerning the joint acquisition of control of a business by the companies ITM Entreprises and Ardilla, formalized by the statutes of the company Xerus dated June 30, 2021;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transaction consists of the joint acquisition of control by the companies ITM Entreprises and Ardilla of a food-dominant business of supermarket type operated under the Intermarché brand with a surface area of 400 m² located in Paris (75010).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transaction under number 21-165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