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https://www.autoritedelaconcurrence.fr/fr/decision-de-controle-des-concentrations/relative-la-prise-de-controle-conjoint-dun-fonds-de-34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24-DCC-118 of June 18, 2024  </w:t>
        <w:br/>
        <w:t xml:space="preserve">regarding the joint control acquisition of a business by the  </w:t>
        <w:br/>
        <w:t xml:space="preserve">company Sodimeaux alongside the  </w:t>
        <w:br/>
        <w:t xml:space="preserve">Association of E. Leclerc Distributor Centers  </w:t>
        <w:br/>
        <w:t xml:space="preserve">The Competition Authority,  </w:t>
        <w:br/>
        <w:t xml:space="preserve">Having regard to the notification file sent to the mergers department on May 21, 2024, declared  </w:t>
        <w:br/>
        <w:t xml:space="preserve">complete on June 3, 2024, concerning the joint control acquisition of a business by the  </w:t>
        <w:br/>
        <w:t xml:space="preserve">company Sodimeaux alongside the Association of E. Leclerc Distributor Centers, formalized  </w:t>
        <w:br/>
        <w:t xml:space="preserve">by the acceptance of a business transfer agreement, signed on April 30, 2024;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Having regard to the additional elements provided by the notifying parties during the investigation;  </w:t>
        <w:br/>
        <w:t xml:space="preserve">Adopts the following decision:  </w:t>
        <w:br/>
        <w:t xml:space="preserve">1. The notified operation consists of the joint control acquisition by the company Sodimeaux alongside  </w:t>
        <w:br/>
        <w:t xml:space="preserve">the Association of E. Leclerc Distributor Centers of a food-dominant business under the Monop’ brand located in Meaux (77), of the supermarket type measuring 229 m². It  </w:t>
        <w:br/>
        <w:t xml:space="preserve">constitutes a concentration operation within the meaning of Article L. 430-1 of the Commercial Code.  </w:t>
        <w:br/>
        <w:t xml:space="preserve">Given the turnover achieved by the companies concerned, the operation does not fall  </w:t>
        <w:br/>
        <w:t xml:space="preserve">under the jurisdiction of the European Union. On the other hand, the control thresholds related to  </w:t>
        <w:br/>
        <w:t xml:space="preserve">retail trade mentioned in point II of Article L. 430-2 of the Commercial Code are  </w:t>
        <w:br/>
        <w:t xml:space="preserve">exceeded. The present operation is therefore subject to the provisions of Articles L. 430-3 and  </w:t>
        <w:br/>
        <w:t xml:space="preserve">following of the Commercial Code relating to 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24-133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