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https://www.autoritedelaconcurrence.fr/fr/decision-de-controle-des-concentrations/relative-la-prise-de-controle-conjoint-dun-fonds-de-35</w:t>
      </w:r>
    </w:p>
    <w:p>
      <w:r>
        <w:t>Pages translated : 2</w:t>
      </w:r>
    </w:p>
    <w:p/>
    <w:p>
      <w:r>
        <w:rPr>
          <w:b/>
        </w:rPr>
        <w:t>[Pages 1–2]</w:t>
      </w:r>
    </w:p>
    <w:p>
      <w:r>
        <w:t>FRENCH REPUBLIC</w:t>
        <w:br/>
        <w:t>Decision No. 24-DCC-241 of November 19, 2024</w:t>
        <w:br/>
        <w:t>regarding the joint control acquisition of a business operated by Auchan Supermarché by Arcycom alongside the Association of E. Leclerc Distributor Centers</w:t>
        <w:br/>
        <w:t>The Competition Authority,</w:t>
        <w:br/>
        <w:t>Having regard to the complete notification file submitted to the mergers department on October 30, 2024, concerning the joint control acquisition of a business operated by Auchan Supermarché by Arcycom alongside the Association of E. Leclerc Distributor Centers, formalized by a promise of business transfer under suspensive conditions dated September 18, 2024;</w:t>
        <w:br/>
        <w:t>Having regard to Book IV of the Commercial Code relating to the freedom of prices and competition, and in particular its articles L. 430-1 to L. 430-7;</w:t>
        <w:br/>
        <w:t>Adopts the following decision:</w:t>
        <w:br/>
        <w:t>1. The notified operation consists of the joint control acquisition by Arcycom alongside the Association of E. Leclerc Distributor Centers of the food-dominant distribution business owned by Auchan Supermarchés, which is a supermarket with an area of 1,398 m², under the Auchan brand, in Rambouillet (78). The operation constitutes a concentration within the meaning of Article L. 430-1 of the Commercial Code. Given the turnover generated by the companies involved,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24-280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