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https://www.autoritedelaconcurrence.fr/fr/decision-de-controle-des-concentrations/relative-la-prise-de-controle-conjoint-dun-fonds-de-39</w:t>
      </w:r>
    </w:p>
    <w:p>
      <w:r>
        <w:t>Pages translated : 2</w:t>
      </w:r>
    </w:p>
    <w:p/>
    <w:p>
      <w:r>
        <w:rPr>
          <w:b/>
        </w:rPr>
        <w:t>[Pages 1–2]</w:t>
      </w:r>
    </w:p>
    <w:p>
      <w:r>
        <w:t xml:space="preserve">FRENCH REPUBLIC  </w:t>
        <w:br/>
        <w:t xml:space="preserve">Decision No. 25-DCC-92 of April 17, 2025  </w:t>
        <w:br/>
        <w:t xml:space="preserve">regarding the joint control acquisition of a predominantly food retail business by the company SDSM Exploitation alongside the Association of E. Leclerc Distributor Centers  </w:t>
        <w:br/>
        <w:t xml:space="preserve">The Competition Authority,  </w:t>
        <w:br/>
        <w:t xml:space="preserve">Having regard to the complete notification file submitted to the mergers department on March 21, 2025, concerning the joint control acquisition of a predominantly food retail business by the company SDSM Exploitation, alongside the Association of E. Leclerc Distributor Centers, formalized by a business transfer agreement dated January 30, 2025;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joint control acquisition by the company SDSM Exploitation, alongside the Association of E. Leclerc Distributor Centers, of a retail distribution business of predominantly food products of the supermarket type, formerly under the brand Leader Price, with a surface area of 651 m², located in Saint Saens (76).  </w:t>
        <w:br/>
        <w:t xml:space="preserve">2. This operation constitutes a concentration within the meaning of Article L. 430-1 of the Commercial Code. Given the turnover achieved by the companies concerned, the operation does not fall under the jurisdiction of the European Union. However, the control thresholds mentioned in II of Article L. 430-2 of the Commercial Code are exceeded. The present operation is therefore subject to the provisions of Articles L. 430-3 and following of the Commercial Code relating to economic concentration.  </w:t>
        <w:br/>
        <w:t>3. In light of the elements of the file, the operation is not likely to harm competition in the relevant markets.</w:t>
      </w:r>
    </w:p>
    <w:p>
      <w:r>
        <w:t xml:space="preserve">DECIDES  </w:t>
        <w:br/>
        <w:t xml:space="preserve">Sole Article: The operation notified under number 25-081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